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5.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9" w:type="dxa"/>
        <w:tblLook w:val="0000" w:firstRow="0" w:lastRow="0" w:firstColumn="0" w:lastColumn="0" w:noHBand="0" w:noVBand="0"/>
      </w:tblPr>
      <w:tblGrid>
        <w:gridCol w:w="4644"/>
        <w:gridCol w:w="4645"/>
      </w:tblGrid>
      <w:tr w:rsidR="00650603" w:rsidRPr="00086763" w14:paraId="22278D4B" w14:textId="77777777">
        <w:trPr>
          <w:cantSplit/>
        </w:trPr>
        <w:tc>
          <w:tcPr>
            <w:tcW w:w="4644" w:type="dxa"/>
            <w:shd w:val="clear" w:color="auto" w:fill="auto"/>
          </w:tcPr>
          <w:p w14:paraId="1652092D" w14:textId="683D767C" w:rsidR="00650603" w:rsidRPr="00086763" w:rsidRDefault="00365BA3" w:rsidP="004C1246">
            <w:r>
              <w:rPr>
                <w:b/>
                <w:bCs/>
                <w:noProof/>
                <w:sz w:val="20"/>
                <w:szCs w:val="28"/>
                <w:lang w:val="fr-BE" w:eastAsia="fr-BE"/>
              </w:rPr>
              <mc:AlternateContent>
                <mc:Choice Requires="wps">
                  <w:drawing>
                    <wp:anchor distT="0" distB="0" distL="114300" distR="114300" simplePos="0" relativeHeight="251659264" behindDoc="1" locked="0" layoutInCell="0" allowOverlap="1" wp14:anchorId="44B8ECDC" wp14:editId="5A2F103A">
                      <wp:simplePos x="0" y="0"/>
                      <wp:positionH relativeFrom="page">
                        <wp:posOffset>6769100</wp:posOffset>
                      </wp:positionH>
                      <wp:positionV relativeFrom="page">
                        <wp:posOffset>10081260</wp:posOffset>
                      </wp:positionV>
                      <wp:extent cx="647700" cy="396240"/>
                      <wp:effectExtent l="0" t="0" r="0" b="3810"/>
                      <wp:wrapNone/>
                      <wp:docPr id="1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23E368" w14:textId="77777777" w:rsidR="00197F09" w:rsidRPr="00260E65" w:rsidRDefault="00197F09">
                                  <w:pPr>
                                    <w:jc w:val="center"/>
                                    <w:rPr>
                                      <w:rFonts w:ascii="Arial" w:hAnsi="Arial" w:cs="Arial"/>
                                      <w:b/>
                                      <w:bCs/>
                                      <w:sz w:val="48"/>
                                    </w:rPr>
                                  </w:pPr>
                                  <w:r>
                                    <w:rPr>
                                      <w:rFonts w:ascii="Arial" w:hAnsi="Arial"/>
                                      <w:b/>
                                      <w:bCs/>
                                      <w:sz w:val="48"/>
                                    </w:rPr>
                                    <w:t>NL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B8ECDC" id="_x0000_t202" coordsize="21600,21600" o:spt="202" path="m,l,21600r21600,l21600,xe">
                      <v:stroke joinstyle="miter"/>
                      <v:path gradientshapeok="t" o:connecttype="rect"/>
                    </v:shapetype>
                    <v:shape id="Text Box 2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3HDtgIAALo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o5dxw7YCAAC6&#10;BQAADgAAAAAAAAAAAAAAAAAuAgAAZHJzL2Uyb0RvYy54bWxQSwECLQAUAAYACAAAACEA61QxWt4A&#10;AAAPAQAADwAAAAAAAAAAAAAAAAAQBQAAZHJzL2Rvd25yZXYueG1sUEsFBgAAAAAEAAQA8wAAABsG&#10;AAAAAA==&#10;" o:allowincell="f" filled="f" stroked="f">
                      <v:textbox>
                        <w:txbxContent>
                          <w:p w14:paraId="3E23E368" w14:textId="77777777" w:rsidR="00197F09" w:rsidRPr="00260E65" w:rsidRDefault="00197F09">
                            <w:pPr>
                              <w:jc w:val="center"/>
                              <w:rPr>
                                <w:rFonts w:ascii="Arial" w:hAnsi="Arial" w:cs="Arial"/>
                                <w:b/>
                                <w:bCs/>
                                <w:sz w:val="48"/>
                              </w:rPr>
                            </w:pPr>
                            <w:r>
                              <w:rPr>
                                <w:rFonts w:ascii="Arial" w:hAnsi="Arial"/>
                                <w:b/>
                                <w:bCs/>
                                <w:sz w:val="48"/>
                              </w:rPr>
                              <w:t>NL</w:t>
                            </w:r>
                          </w:p>
                        </w:txbxContent>
                      </v:textbox>
                      <w10:wrap anchorx="page" anchory="page"/>
                    </v:shape>
                  </w:pict>
                </mc:Fallback>
              </mc:AlternateContent>
            </w:r>
            <w:r w:rsidR="00644723">
              <w:rPr>
                <w:noProof/>
                <w:lang w:val="fr-BE" w:eastAsia="fr-BE"/>
              </w:rPr>
              <w:drawing>
                <wp:inline distT="0" distB="0" distL="0" distR="0" wp14:anchorId="13E5522C" wp14:editId="7D119B8F">
                  <wp:extent cx="1799590" cy="1558290"/>
                  <wp:effectExtent l="0" t="0" r="0" b="3810"/>
                  <wp:docPr id="3" name="Picture 3" title="CoRLogo_NL"/>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9590" cy="1558290"/>
                          </a:xfrm>
                          <a:prstGeom prst="rect">
                            <a:avLst/>
                          </a:prstGeom>
                        </pic:spPr>
                      </pic:pic>
                    </a:graphicData>
                  </a:graphic>
                </wp:inline>
              </w:drawing>
            </w:r>
          </w:p>
        </w:tc>
        <w:tc>
          <w:tcPr>
            <w:tcW w:w="4644" w:type="dxa"/>
            <w:shd w:val="clear" w:color="auto" w:fill="auto"/>
          </w:tcPr>
          <w:p w14:paraId="6436B76C" w14:textId="77777777" w:rsidR="00650603" w:rsidRPr="00086763" w:rsidRDefault="00650603" w:rsidP="004C1246"/>
        </w:tc>
      </w:tr>
      <w:tr w:rsidR="00650603" w:rsidRPr="00086763" w14:paraId="385F2758" w14:textId="77777777">
        <w:trPr>
          <w:cantSplit/>
        </w:trPr>
        <w:tc>
          <w:tcPr>
            <w:tcW w:w="9288" w:type="dxa"/>
            <w:gridSpan w:val="2"/>
            <w:shd w:val="clear" w:color="auto" w:fill="auto"/>
          </w:tcPr>
          <w:p w14:paraId="62642EAA" w14:textId="20812E40" w:rsidR="00650603" w:rsidRPr="00086763" w:rsidRDefault="00B22AF7" w:rsidP="004C1246">
            <w:pPr>
              <w:jc w:val="right"/>
              <w:rPr>
                <w:b/>
                <w:bCs/>
                <w:sz w:val="28"/>
                <w:highlight w:val="yellow"/>
              </w:rPr>
            </w:pPr>
            <w:r>
              <w:rPr>
                <w:b/>
                <w:bCs/>
                <w:sz w:val="28"/>
                <w:szCs w:val="28"/>
              </w:rPr>
              <w:t>SEDEC-VII/003</w:t>
            </w:r>
          </w:p>
        </w:tc>
      </w:tr>
      <w:tr w:rsidR="00650603" w:rsidRPr="00086763" w14:paraId="6BE24198" w14:textId="77777777">
        <w:tc>
          <w:tcPr>
            <w:tcW w:w="9288" w:type="dxa"/>
            <w:gridSpan w:val="2"/>
            <w:shd w:val="clear" w:color="auto" w:fill="auto"/>
          </w:tcPr>
          <w:p w14:paraId="357530EA" w14:textId="0C94C9BA" w:rsidR="00650603" w:rsidRPr="00086763" w:rsidRDefault="00DC0087" w:rsidP="004C1246">
            <w:pPr>
              <w:jc w:val="center"/>
              <w:rPr>
                <w:b/>
                <w:sz w:val="28"/>
                <w:szCs w:val="28"/>
              </w:rPr>
            </w:pPr>
            <w:r>
              <w:rPr>
                <w:b/>
                <w:sz w:val="28"/>
                <w:szCs w:val="28"/>
              </w:rPr>
              <w:t>140</w:t>
            </w:r>
            <w:r>
              <w:rPr>
                <w:b/>
                <w:sz w:val="28"/>
                <w:szCs w:val="28"/>
                <w:vertAlign w:val="superscript"/>
              </w:rPr>
              <w:t>e</w:t>
            </w:r>
            <w:r>
              <w:rPr>
                <w:b/>
                <w:sz w:val="28"/>
                <w:szCs w:val="28"/>
              </w:rPr>
              <w:t xml:space="preserve"> zitting, 12-14 oktober 2020</w:t>
            </w:r>
          </w:p>
        </w:tc>
      </w:tr>
    </w:tbl>
    <w:p w14:paraId="61FB5416" w14:textId="77777777" w:rsidR="00650603" w:rsidRPr="00086763" w:rsidRDefault="00650603"/>
    <w:p w14:paraId="7DFAD560" w14:textId="2C47920A" w:rsidR="00650603" w:rsidRPr="00086763" w:rsidRDefault="000F38E7">
      <w:pPr>
        <w:jc w:val="center"/>
      </w:pPr>
      <w:r>
        <w:rPr>
          <w:b/>
          <w:bCs/>
          <w:sz w:val="28"/>
        </w:rPr>
        <w:t>ADVIES</w:t>
      </w:r>
    </w:p>
    <w:p w14:paraId="1AD8AF67" w14:textId="77777777" w:rsidR="00650603" w:rsidRPr="00086763" w:rsidRDefault="00650603"/>
    <w:p w14:paraId="723F3475" w14:textId="4206AB88" w:rsidR="00650603" w:rsidRPr="00086763" w:rsidRDefault="009F2CE1">
      <w:pPr>
        <w:jc w:val="center"/>
        <w:rPr>
          <w:bCs/>
          <w:sz w:val="28"/>
          <w:szCs w:val="28"/>
        </w:rPr>
      </w:pPr>
      <w:r>
        <w:rPr>
          <w:b/>
          <w:bCs/>
          <w:sz w:val="28"/>
          <w:szCs w:val="28"/>
        </w:rPr>
        <w:t xml:space="preserve">Witboek over kunstmatige intelligentie – </w:t>
      </w:r>
      <w:r>
        <w:rPr>
          <w:b/>
          <w:bCs/>
          <w:sz w:val="28"/>
          <w:szCs w:val="28"/>
        </w:rPr>
        <w:br/>
        <w:t>Een Europese benadering op basis van excellentie en vertrouwen</w:t>
      </w:r>
    </w:p>
    <w:p w14:paraId="62B831F7" w14:textId="73702FA7" w:rsidR="00C57039" w:rsidRDefault="00C57039" w:rsidP="008013A9">
      <w:pPr>
        <w:tabs>
          <w:tab w:val="center" w:pos="4536"/>
          <w:tab w:val="left" w:pos="4977"/>
        </w:tabs>
        <w:jc w:val="left"/>
        <w:textAlignment w:val="auto"/>
      </w:pPr>
    </w:p>
    <w:p w14:paraId="31E11407" w14:textId="268E6345" w:rsidR="008013A9" w:rsidRPr="00A86096" w:rsidRDefault="008013A9" w:rsidP="008013A9">
      <w:pPr>
        <w:tabs>
          <w:tab w:val="center" w:pos="4536"/>
          <w:tab w:val="left" w:pos="4977"/>
        </w:tabs>
        <w:jc w:val="left"/>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9"/>
      </w:tblGrid>
      <w:tr w:rsidR="00C57039" w:rsidRPr="00086763" w14:paraId="3B72ECD8" w14:textId="77777777" w:rsidTr="00666E07">
        <w:tc>
          <w:tcPr>
            <w:tcW w:w="9289" w:type="dxa"/>
            <w:tcMar>
              <w:top w:w="108" w:type="dxa"/>
            </w:tcMar>
          </w:tcPr>
          <w:p w14:paraId="71271137" w14:textId="77777777" w:rsidR="00C57039" w:rsidRPr="00A86096" w:rsidRDefault="00C57039" w:rsidP="00666E07">
            <w:pPr>
              <w:jc w:val="left"/>
              <w:textAlignment w:val="auto"/>
            </w:pPr>
            <w:r>
              <w:t>HET EUROPEES COMITÉ VAN DE REGIO’S</w:t>
            </w:r>
          </w:p>
          <w:p w14:paraId="79680BBD" w14:textId="39D63452" w:rsidR="00645AB0" w:rsidRPr="00A86096" w:rsidRDefault="00645AB0" w:rsidP="00A86096">
            <w:pPr>
              <w:autoSpaceDE w:val="0"/>
              <w:autoSpaceDN w:val="0"/>
              <w:textAlignment w:val="auto"/>
            </w:pPr>
          </w:p>
          <w:p w14:paraId="27975BE8" w14:textId="52ED2316" w:rsidR="00645AB0" w:rsidRPr="00A86096" w:rsidRDefault="00645AB0" w:rsidP="00A86096">
            <w:pPr>
              <w:numPr>
                <w:ilvl w:val="0"/>
                <w:numId w:val="14"/>
              </w:numPr>
              <w:autoSpaceDE w:val="0"/>
              <w:autoSpaceDN w:val="0"/>
              <w:ind w:left="567" w:hanging="567"/>
              <w:textAlignment w:val="auto"/>
            </w:pPr>
            <w:r>
              <w:t>wijst erop dat artificiële intelligentie al deel van ons leven uitmaakt en een steeds belangrijker rol bij de transformatie van onze samenlevingen zal gaan spelen. Artificiële intelligentie biedt veel potentieel voor de Europese samenleving, bedrijven en burgers. Met innovatie op gebied van artificiële intelligentie wordt niet alleen een bijdrage aan de economie geleverd, maar ook aan het oplossen van maatschappelijke en milieuopgaven;</w:t>
            </w:r>
          </w:p>
          <w:p w14:paraId="74AD8BB3" w14:textId="77777777" w:rsidR="00645AB0" w:rsidRPr="00A86096" w:rsidRDefault="00645AB0" w:rsidP="00A86096">
            <w:pPr>
              <w:numPr>
                <w:ilvl w:val="0"/>
                <w:numId w:val="14"/>
              </w:numPr>
              <w:autoSpaceDE w:val="0"/>
              <w:autoSpaceDN w:val="0"/>
              <w:ind w:left="567" w:hanging="567"/>
              <w:textAlignment w:val="auto"/>
            </w:pPr>
            <w:r>
              <w:t>benadrukt dat lokale en regionale overheden het beste in staat zijn om bij te dragen aan het scheppen van een gunstig klimaat voor een toename van de investeringen in artificiële intelligentie in de komende jaren en het bevorderen van het vertrouwen in artificiële intelligentie;</w:t>
            </w:r>
          </w:p>
          <w:p w14:paraId="40D5499D" w14:textId="77777777" w:rsidR="00645AB0" w:rsidRPr="00A86096" w:rsidRDefault="00645AB0" w:rsidP="00A86096">
            <w:pPr>
              <w:numPr>
                <w:ilvl w:val="0"/>
                <w:numId w:val="14"/>
              </w:numPr>
              <w:autoSpaceDE w:val="0"/>
              <w:autoSpaceDN w:val="0"/>
              <w:ind w:left="567" w:hanging="567"/>
              <w:textAlignment w:val="auto"/>
            </w:pPr>
            <w:r>
              <w:t>merkt op dat het waarborgen van fundamentele rechten, consumentenrechten en regels ten aanzien van aansprakelijkheid en productveiligheid volgens de Europese Commissie de belangrijkste kernelementen zijn die het ecosysteem van vertrouwen vormen;</w:t>
            </w:r>
          </w:p>
          <w:p w14:paraId="5175E1FA" w14:textId="77777777" w:rsidR="00645AB0" w:rsidRPr="00A86096" w:rsidRDefault="00645AB0" w:rsidP="00A86096">
            <w:pPr>
              <w:numPr>
                <w:ilvl w:val="0"/>
                <w:numId w:val="14"/>
              </w:numPr>
              <w:autoSpaceDE w:val="0"/>
              <w:autoSpaceDN w:val="0"/>
              <w:ind w:left="567" w:hanging="567"/>
              <w:textAlignment w:val="auto"/>
            </w:pPr>
            <w:r>
              <w:t>benadrukt dat de invoering van waarborgen cruciaal is voor elk toekomstig regelgevingskader op het vlak van artificiële intelligentie om te garanderen dat artificiële intelligentie vrij blijft van vooroordelen en geen discriminatie op grond van geslacht, etniciteit, leeftijd, handicap of seksuele geaardheid reproduceert;</w:t>
            </w:r>
          </w:p>
          <w:p w14:paraId="326B1AC6" w14:textId="77777777" w:rsidR="00645AB0" w:rsidRPr="00A86096" w:rsidRDefault="00645AB0" w:rsidP="00A86096">
            <w:pPr>
              <w:numPr>
                <w:ilvl w:val="0"/>
                <w:numId w:val="14"/>
              </w:numPr>
              <w:autoSpaceDE w:val="0"/>
              <w:autoSpaceDN w:val="0"/>
              <w:ind w:left="567" w:hanging="567"/>
              <w:textAlignment w:val="auto"/>
            </w:pPr>
            <w:r>
              <w:t>onderstreept dat dit regelgevingskader voldoende bovenstaande kernelementen dient te waarborgen en tegelijkertijd ruimte en flexibiliteit dient te bieden voor innovatie;</w:t>
            </w:r>
          </w:p>
          <w:p w14:paraId="380F3BB9" w14:textId="1D209FD6" w:rsidR="00C57039" w:rsidRPr="00A86096" w:rsidRDefault="00645AB0" w:rsidP="00A86096">
            <w:pPr>
              <w:numPr>
                <w:ilvl w:val="0"/>
                <w:numId w:val="14"/>
              </w:numPr>
              <w:autoSpaceDE w:val="0"/>
              <w:autoSpaceDN w:val="0"/>
              <w:ind w:left="567" w:hanging="567"/>
              <w:textAlignment w:val="auto"/>
            </w:pPr>
            <w:r>
              <w:t>meent dat het toekomstige Europese beleidskader inspanningen op Europees, nationaal en regionaal niveau moet coördineren, kennisdeling moet bevorderen en moet waarborgen dat de particuliere en de openbare sector samenwerken. Dit vraagt om een multilevel governance waarbij netwerken van lokaal, regionaal, nationaal en Europese niveau met elkaar worden verbonden.</w:t>
            </w:r>
          </w:p>
        </w:tc>
      </w:tr>
    </w:tbl>
    <w:p w14:paraId="1FAA2C3B" w14:textId="02DC539A" w:rsidR="00B75DD7" w:rsidRDefault="00B75DD7" w:rsidP="00C57039">
      <w:pPr>
        <w:textAlignment w:val="auto"/>
      </w:pPr>
      <w:r>
        <w:rPr>
          <w:noProof/>
          <w:lang w:val="fr-BE" w:eastAsia="fr-BE"/>
        </w:rPr>
        <w:drawing>
          <wp:anchor distT="0" distB="0" distL="114300" distR="114300" simplePos="0" relativeHeight="251661312" behindDoc="0" locked="0" layoutInCell="1" allowOverlap="1" wp14:anchorId="42275519" wp14:editId="05BA9051">
            <wp:simplePos x="0" y="0"/>
            <wp:positionH relativeFrom="column">
              <wp:posOffset>-22225</wp:posOffset>
            </wp:positionH>
            <wp:positionV relativeFrom="page">
              <wp:posOffset>10246360</wp:posOffset>
            </wp:positionV>
            <wp:extent cx="5779135" cy="29019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779135" cy="290195"/>
                    </a:xfrm>
                    <a:prstGeom prst="rect">
                      <a:avLst/>
                    </a:prstGeom>
                  </pic:spPr>
                </pic:pic>
              </a:graphicData>
            </a:graphic>
            <wp14:sizeRelH relativeFrom="margin">
              <wp14:pctWidth>0</wp14:pctWidth>
            </wp14:sizeRelH>
            <wp14:sizeRelV relativeFrom="margin">
              <wp14:pctHeight>0</wp14:pctHeight>
            </wp14:sizeRelV>
          </wp:anchor>
        </w:drawing>
      </w:r>
    </w:p>
    <w:p w14:paraId="03CBEE27" w14:textId="77777777" w:rsidR="00B75DD7" w:rsidRPr="00086763" w:rsidRDefault="00B75DD7" w:rsidP="00C57039">
      <w:pPr>
        <w:textAlignment w:val="auto"/>
        <w:sectPr w:rsidR="00B75DD7" w:rsidRPr="00086763" w:rsidSect="00A154E6">
          <w:footerReference w:type="default" r:id="rId13"/>
          <w:pgSz w:w="11906" w:h="16838"/>
          <w:pgMar w:top="1417" w:right="1417" w:bottom="1417" w:left="1417" w:header="709" w:footer="709" w:gutter="0"/>
          <w:pgNumType w:start="1"/>
          <w:cols w:space="708"/>
          <w:formProt w:val="0"/>
          <w:docGrid w:linePitch="299"/>
        </w:sectPr>
      </w:pPr>
    </w:p>
    <w:p w14:paraId="42F4DCA1" w14:textId="77777777" w:rsidR="00C57039" w:rsidRPr="00A86096" w:rsidRDefault="00C57039" w:rsidP="00C57039">
      <w:pPr>
        <w:textAlignment w:val="auto"/>
      </w:pPr>
    </w:p>
    <w:tbl>
      <w:tblPr>
        <w:tblpPr w:leftFromText="180" w:rightFromText="180" w:vertAnchor="text" w:tblpY="1"/>
        <w:tblOverlap w:val="never"/>
        <w:tblW w:w="9289" w:type="dxa"/>
        <w:tblLook w:val="01E0" w:firstRow="1" w:lastRow="1" w:firstColumn="1" w:lastColumn="1" w:noHBand="0" w:noVBand="0"/>
      </w:tblPr>
      <w:tblGrid>
        <w:gridCol w:w="9289"/>
      </w:tblGrid>
      <w:tr w:rsidR="00650603" w:rsidRPr="00086763" w14:paraId="00080962" w14:textId="77777777" w:rsidTr="00B22AF7">
        <w:trPr>
          <w:trHeight w:val="12474"/>
        </w:trPr>
        <w:tc>
          <w:tcPr>
            <w:tcW w:w="9289" w:type="dxa"/>
            <w:shd w:val="clear" w:color="auto" w:fill="auto"/>
            <w:vAlign w:val="bottom"/>
          </w:tcPr>
          <w:p w14:paraId="5D196B1A" w14:textId="77777777" w:rsidR="00C57039" w:rsidRPr="00086763" w:rsidRDefault="00C57039" w:rsidP="00A86096">
            <w:pPr>
              <w:jc w:val="left"/>
            </w:pPr>
            <w:r>
              <w:t xml:space="preserve">Rapporteur: </w:t>
            </w:r>
          </w:p>
          <w:p w14:paraId="656B2660" w14:textId="77777777" w:rsidR="00C57039" w:rsidRPr="00086763" w:rsidRDefault="00C57039" w:rsidP="00A86096">
            <w:pPr>
              <w:jc w:val="left"/>
            </w:pPr>
          </w:p>
          <w:p w14:paraId="3AC7658B" w14:textId="37FF001B" w:rsidR="00C57039" w:rsidRPr="00086763" w:rsidRDefault="00C57039" w:rsidP="0035109F">
            <w:pPr>
              <w:rPr>
                <w:u w:val="single"/>
              </w:rPr>
            </w:pPr>
            <w:r>
              <w:rPr>
                <w:b/>
              </w:rPr>
              <w:t>Guido Rink (NL/PSE)</w:t>
            </w:r>
            <w:r>
              <w:t>, wethouder van de gemeente Emmen</w:t>
            </w:r>
          </w:p>
          <w:p w14:paraId="5C6ED452" w14:textId="77777777" w:rsidR="00C57039" w:rsidRPr="00086763" w:rsidRDefault="00C57039" w:rsidP="0035109F">
            <w:pPr>
              <w:rPr>
                <w:u w:val="single"/>
              </w:rPr>
            </w:pPr>
          </w:p>
          <w:p w14:paraId="066FB138" w14:textId="1CCB3545" w:rsidR="00650603" w:rsidRPr="00086763" w:rsidRDefault="000F38E7" w:rsidP="0035109F">
            <w:pPr>
              <w:rPr>
                <w:u w:val="single"/>
              </w:rPr>
            </w:pPr>
            <w:r>
              <w:rPr>
                <w:u w:val="single"/>
              </w:rPr>
              <w:t>Referentiedocument</w:t>
            </w:r>
          </w:p>
          <w:p w14:paraId="05EE66EC" w14:textId="77777777" w:rsidR="00650603" w:rsidRPr="00086763" w:rsidRDefault="00650603" w:rsidP="0035109F"/>
          <w:p w14:paraId="25EF1A57" w14:textId="6164F060" w:rsidR="00957C04" w:rsidRPr="00086763" w:rsidRDefault="00957C04" w:rsidP="0035109F">
            <w:r>
              <w:t xml:space="preserve">Witboek over kunstmatige intelligentie – Een Europese benadering op basis van excellentie en vertrouwen </w:t>
            </w:r>
          </w:p>
          <w:p w14:paraId="60D254B2" w14:textId="16949866" w:rsidR="00650603" w:rsidRPr="00086763" w:rsidRDefault="000F38E7" w:rsidP="0035109F">
            <w:r>
              <w:t>COM(2020) 65 final</w:t>
            </w:r>
          </w:p>
        </w:tc>
      </w:tr>
    </w:tbl>
    <w:p w14:paraId="1D012904" w14:textId="77777777" w:rsidR="00086763" w:rsidRPr="00086763" w:rsidRDefault="00B22AF7">
      <w:pPr>
        <w:jc w:val="center"/>
        <w:sectPr w:rsidR="00086763" w:rsidRPr="00086763" w:rsidSect="00A154E6">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9" w:footer="709" w:gutter="0"/>
          <w:cols w:space="708"/>
          <w:formProt w:val="0"/>
          <w:docGrid w:linePitch="299"/>
        </w:sectPr>
      </w:pPr>
      <w:r>
        <w:br w:type="page"/>
      </w:r>
    </w:p>
    <w:p w14:paraId="4F5CAA79" w14:textId="2C4FE50C" w:rsidR="00650603" w:rsidRPr="00086763" w:rsidRDefault="001275B5">
      <w:pPr>
        <w:jc w:val="center"/>
        <w:rPr>
          <w:b/>
        </w:rPr>
      </w:pPr>
      <w:r>
        <w:rPr>
          <w:b/>
        </w:rPr>
        <w:lastRenderedPageBreak/>
        <w:t>Advies van het Europees Comité van de Regio’s – Witboek over kunstmatige intelligentie – Een Europese benadering op basis van excellentie en vertrouwen</w:t>
      </w:r>
    </w:p>
    <w:p w14:paraId="3104D4CD" w14:textId="77777777" w:rsidR="00650603" w:rsidRPr="00086763" w:rsidRDefault="00650603" w:rsidP="0035109F">
      <w:pPr>
        <w:rPr>
          <w:rFonts w:eastAsia="PMingLiU"/>
        </w:rPr>
      </w:pPr>
    </w:p>
    <w:p w14:paraId="216492B8" w14:textId="77777777" w:rsidR="00650603" w:rsidRPr="00086763" w:rsidRDefault="000F38E7">
      <w:pPr>
        <w:keepLines/>
        <w:numPr>
          <w:ilvl w:val="0"/>
          <w:numId w:val="3"/>
        </w:numPr>
        <w:ind w:left="567" w:hanging="567"/>
        <w:rPr>
          <w:rFonts w:eastAsia="PMingLiU"/>
        </w:rPr>
      </w:pPr>
      <w:r>
        <w:rPr>
          <w:b/>
          <w:bCs/>
        </w:rPr>
        <w:t>BELEIDSAANBEVELINGEN</w:t>
      </w:r>
    </w:p>
    <w:p w14:paraId="2A5D52F2" w14:textId="77777777" w:rsidR="00650603" w:rsidRPr="00086763" w:rsidRDefault="00650603">
      <w:pPr>
        <w:keepLines/>
        <w:rPr>
          <w:rFonts w:eastAsia="PMingLiU"/>
        </w:rPr>
      </w:pPr>
    </w:p>
    <w:p w14:paraId="5943C6EF" w14:textId="1AB2FA0F" w:rsidR="005215F9" w:rsidRPr="00086763" w:rsidRDefault="000F38E7">
      <w:pPr>
        <w:keepLines/>
      </w:pPr>
      <w:r>
        <w:t>HET EUROPEES COMITÉ VAN DE REGIO’S</w:t>
      </w:r>
    </w:p>
    <w:p w14:paraId="1833A16F" w14:textId="77777777" w:rsidR="005215F9" w:rsidRPr="00086763" w:rsidRDefault="005215F9" w:rsidP="0035109F"/>
    <w:p w14:paraId="0FC4D44D" w14:textId="77777777" w:rsidR="005215F9" w:rsidRPr="00086763" w:rsidRDefault="005215F9">
      <w:pPr>
        <w:tabs>
          <w:tab w:val="left" w:pos="-2268"/>
        </w:tabs>
      </w:pPr>
      <w:r>
        <w:t>Algemene opmerkingen</w:t>
      </w:r>
    </w:p>
    <w:p w14:paraId="0D115190" w14:textId="77777777" w:rsidR="00650603" w:rsidRPr="00086763" w:rsidRDefault="00650603">
      <w:pPr>
        <w:keepLines/>
        <w:rPr>
          <w:rFonts w:eastAsia="PMingLiU"/>
        </w:rPr>
      </w:pPr>
    </w:p>
    <w:p w14:paraId="6C72AEA4" w14:textId="4B2335E9" w:rsidR="00815D81" w:rsidRPr="00086763" w:rsidRDefault="00DC0087">
      <w:pPr>
        <w:pStyle w:val="Heading1"/>
        <w:numPr>
          <w:ilvl w:val="0"/>
          <w:numId w:val="2"/>
        </w:numPr>
        <w:ind w:left="567" w:hanging="567"/>
        <w:rPr>
          <w:bCs/>
        </w:rPr>
      </w:pPr>
      <w:r>
        <w:t>neemt kennis van het feit dat de Europese Commissie (hierna: de Commissie) op 19 februari 2020 haar digitale strategie voor de periode 2020-2025 heeft gepubliceerd. Met het Witboek ‘Kunstmatige intelligentie’ (Artificiële Intelligentie, hierna: AI) zet de Commissie haar visie uiteen op de belangrijkste beleidsmaatregelen en investeringen op het gebied van AI. Volgens de Commissie kan Europa een wereldleider worden op het gebied van AI.</w:t>
      </w:r>
    </w:p>
    <w:p w14:paraId="06A2C5AA" w14:textId="77777777" w:rsidR="00815D81" w:rsidRPr="00086763" w:rsidRDefault="00815D81"/>
    <w:p w14:paraId="2D85B671" w14:textId="5FBE00EA" w:rsidR="00815D81" w:rsidRPr="00086763" w:rsidRDefault="009749D0">
      <w:pPr>
        <w:pStyle w:val="Heading1"/>
        <w:numPr>
          <w:ilvl w:val="0"/>
          <w:numId w:val="2"/>
        </w:numPr>
        <w:ind w:left="567" w:hanging="567"/>
      </w:pPr>
      <w:bookmarkStart w:id="0" w:name="_Hlk41491571"/>
      <w:r>
        <w:t>Het AI-Witboek hangt samen met de mededelingen ‘Digitale toekomst van Europa vormgeven’</w:t>
      </w:r>
      <w:r w:rsidR="00815D81" w:rsidRPr="00086763">
        <w:rPr>
          <w:bCs/>
          <w:sz w:val="24"/>
          <w:szCs w:val="24"/>
          <w:vertAlign w:val="superscript"/>
        </w:rPr>
        <w:footnoteReference w:id="1"/>
      </w:r>
      <w:r>
        <w:t xml:space="preserve"> en de ‘Europese datastrategie’</w:t>
      </w:r>
      <w:r w:rsidR="00815D81" w:rsidRPr="00086763">
        <w:rPr>
          <w:bCs/>
          <w:sz w:val="24"/>
          <w:szCs w:val="24"/>
          <w:vertAlign w:val="superscript"/>
        </w:rPr>
        <w:footnoteReference w:id="2"/>
      </w:r>
      <w:r>
        <w:t>.</w:t>
      </w:r>
    </w:p>
    <w:bookmarkEnd w:id="0"/>
    <w:p w14:paraId="7DB4E2EA" w14:textId="77777777" w:rsidR="00815D81" w:rsidRPr="00086763" w:rsidRDefault="00815D81"/>
    <w:p w14:paraId="1F72315B" w14:textId="600D632A" w:rsidR="00815D81" w:rsidRPr="00086763" w:rsidRDefault="009749D0">
      <w:pPr>
        <w:pStyle w:val="Heading1"/>
        <w:numPr>
          <w:ilvl w:val="0"/>
          <w:numId w:val="2"/>
        </w:numPr>
        <w:ind w:left="567" w:hanging="567"/>
      </w:pPr>
      <w:r>
        <w:t>De Commissie streeft ernaar een aanpak vast te stellen voor de ontwikkeling en het gebruik van AI op een wijze die mensgericht, ethisch, inclusief en veilig is en de waarden respecteert waarmee de EU zichzelf wenst te associëren.</w:t>
      </w:r>
    </w:p>
    <w:p w14:paraId="7ADC3DC2" w14:textId="77777777" w:rsidR="00815D81" w:rsidRPr="00086763" w:rsidRDefault="00815D81">
      <w:pPr>
        <w:pStyle w:val="Heading1"/>
        <w:numPr>
          <w:ilvl w:val="0"/>
          <w:numId w:val="0"/>
        </w:numPr>
        <w:ind w:left="567"/>
      </w:pPr>
    </w:p>
    <w:p w14:paraId="6E3A232D" w14:textId="117A8F20" w:rsidR="00815D81" w:rsidRPr="00086763" w:rsidRDefault="00994207">
      <w:pPr>
        <w:pStyle w:val="Heading1"/>
        <w:numPr>
          <w:ilvl w:val="0"/>
          <w:numId w:val="2"/>
        </w:numPr>
        <w:ind w:left="567" w:hanging="567"/>
      </w:pPr>
      <w:r>
        <w:t>Het AI-Witboek bestaat uit twee belangrijke onderdelen: bevorderen van de ontwikkeling en toepassing van AI en reguleren van de ethische aspecten en betrouwbaarheid.</w:t>
      </w:r>
    </w:p>
    <w:p w14:paraId="47645E2C" w14:textId="77777777" w:rsidR="00815D81" w:rsidRPr="00086763" w:rsidRDefault="00815D81">
      <w:pPr>
        <w:pStyle w:val="Heading1"/>
        <w:numPr>
          <w:ilvl w:val="0"/>
          <w:numId w:val="0"/>
        </w:numPr>
        <w:ind w:left="567"/>
      </w:pPr>
    </w:p>
    <w:p w14:paraId="707D9C51" w14:textId="643B8A01" w:rsidR="00815D81" w:rsidRPr="00086763" w:rsidRDefault="00815D81">
      <w:pPr>
        <w:pStyle w:val="Heading1"/>
        <w:numPr>
          <w:ilvl w:val="0"/>
          <w:numId w:val="2"/>
        </w:numPr>
        <w:ind w:left="567" w:hanging="567"/>
      </w:pPr>
      <w:r>
        <w:t>Het Europees Comité van de Regio’s (hierna: het CvdR) verwelkomt het ‘Witboek over kunstmatige intelligentie – een Europese benadering op basis van excellentie en vertrouwen’. Het CvdR erkent het belang van discussie omtrent AI in de aanloop naar beleidsvorming van de Commissie op dit gebied. Wel wijst het CvdR erop dat het graag had gezien dat ook de rol van regionale en lokale overheden als belangrijke partner, producent, gebruiker en promotor van innovatie bij de ontwikkeling van AI nadrukkelijk was opgenomen in het Witboek.</w:t>
      </w:r>
    </w:p>
    <w:p w14:paraId="1DE2C391" w14:textId="77777777" w:rsidR="00815D81" w:rsidRPr="00086763" w:rsidRDefault="00815D81">
      <w:pPr>
        <w:pStyle w:val="Heading1"/>
        <w:numPr>
          <w:ilvl w:val="0"/>
          <w:numId w:val="0"/>
        </w:numPr>
        <w:ind w:left="567"/>
      </w:pPr>
    </w:p>
    <w:p w14:paraId="1F755A22" w14:textId="507710D8" w:rsidR="00815D81" w:rsidRPr="00086763" w:rsidRDefault="00815D81">
      <w:pPr>
        <w:pStyle w:val="Heading1"/>
        <w:numPr>
          <w:ilvl w:val="0"/>
          <w:numId w:val="2"/>
        </w:numPr>
        <w:ind w:left="567" w:hanging="567"/>
      </w:pPr>
      <w:r>
        <w:t>Het CvdR roept in dit verband in herinnering het advies van het CvdR over kunstmatige intelligentie van 6-7 februari 2019</w:t>
      </w:r>
      <w:r w:rsidRPr="00086763">
        <w:rPr>
          <w:sz w:val="24"/>
          <w:szCs w:val="24"/>
          <w:vertAlign w:val="superscript"/>
        </w:rPr>
        <w:footnoteReference w:id="3"/>
      </w:r>
      <w:r>
        <w:t>.</w:t>
      </w:r>
    </w:p>
    <w:p w14:paraId="29B802E5" w14:textId="77777777" w:rsidR="00815D81" w:rsidRPr="00086763" w:rsidRDefault="00815D81">
      <w:pPr>
        <w:pStyle w:val="Heading1"/>
        <w:numPr>
          <w:ilvl w:val="0"/>
          <w:numId w:val="0"/>
        </w:numPr>
        <w:ind w:left="567"/>
      </w:pPr>
    </w:p>
    <w:p w14:paraId="1353C39E" w14:textId="02CE01B8" w:rsidR="00815D81" w:rsidRPr="00086763" w:rsidRDefault="00994207">
      <w:pPr>
        <w:pStyle w:val="Heading1"/>
        <w:numPr>
          <w:ilvl w:val="0"/>
          <w:numId w:val="2"/>
        </w:numPr>
        <w:ind w:left="567" w:hanging="567"/>
      </w:pPr>
      <w:r>
        <w:t xml:space="preserve">AI maakt al deel uit van ons leven en zal een steeds belangrijker rol gaan spelen bij de transformatie van onze samenlevingen. AI biedt veel potentieel voor de Europese samenleving, bedrijven en burgers. Met innovatie op gebied van AI wordt niet alleen een bijdrage aan de economie geleverd; zij draagt ook bij aan het oplossen van maatschappelijke en milieuopgaven. </w:t>
      </w:r>
    </w:p>
    <w:p w14:paraId="0F842F43" w14:textId="77777777" w:rsidR="00815D81" w:rsidRPr="00086763" w:rsidRDefault="00815D81">
      <w:pPr>
        <w:pStyle w:val="Heading1"/>
        <w:numPr>
          <w:ilvl w:val="0"/>
          <w:numId w:val="0"/>
        </w:numPr>
        <w:ind w:left="567"/>
      </w:pPr>
    </w:p>
    <w:p w14:paraId="5D15CCEB" w14:textId="7B77FF86" w:rsidR="00815D81" w:rsidRPr="00086763" w:rsidRDefault="009749D0">
      <w:pPr>
        <w:pStyle w:val="Heading1"/>
        <w:numPr>
          <w:ilvl w:val="0"/>
          <w:numId w:val="2"/>
        </w:numPr>
        <w:ind w:left="567" w:hanging="567"/>
      </w:pPr>
      <w:r>
        <w:lastRenderedPageBreak/>
        <w:t>Het toepassen van AI is niet alleen van belang op nationaal niveau, maar ook en bovenal op lokaal en regionaal niveau. Lokale en regionale overheden spelen onder meer een rol bij het stimuleren van AI-ecosystemen in de eigen regio en bij het bevorderen en doen van investeringen in AI.</w:t>
      </w:r>
    </w:p>
    <w:p w14:paraId="28633A53" w14:textId="77777777" w:rsidR="00815D81" w:rsidRPr="00086763" w:rsidRDefault="00815D81" w:rsidP="0035109F">
      <w:pPr>
        <w:pStyle w:val="Heading1"/>
        <w:numPr>
          <w:ilvl w:val="0"/>
          <w:numId w:val="0"/>
        </w:numPr>
        <w:ind w:left="567"/>
        <w:rPr>
          <w:szCs w:val="22"/>
        </w:rPr>
      </w:pPr>
    </w:p>
    <w:p w14:paraId="01C14BA9" w14:textId="4592A24D" w:rsidR="00815D81" w:rsidRPr="00086763" w:rsidRDefault="009749D0">
      <w:pPr>
        <w:pStyle w:val="Heading1"/>
        <w:numPr>
          <w:ilvl w:val="0"/>
          <w:numId w:val="2"/>
        </w:numPr>
        <w:ind w:left="567" w:hanging="567"/>
      </w:pPr>
      <w:r>
        <w:t>AI is een complex beleidsterrein dat niet op zichzelf staat. Het raakt een aantal andere beleidsterreinen waarop de Commissie beleid voert.</w:t>
      </w:r>
    </w:p>
    <w:p w14:paraId="6F804D23" w14:textId="77777777" w:rsidR="00815D81" w:rsidRPr="00086763" w:rsidRDefault="00815D81">
      <w:pPr>
        <w:pStyle w:val="Heading1"/>
        <w:numPr>
          <w:ilvl w:val="0"/>
          <w:numId w:val="0"/>
        </w:numPr>
        <w:ind w:left="567"/>
      </w:pPr>
    </w:p>
    <w:p w14:paraId="281C2125" w14:textId="543286AE" w:rsidR="00815D81" w:rsidRPr="00086763" w:rsidRDefault="004124CA">
      <w:pPr>
        <w:pStyle w:val="Heading1"/>
        <w:numPr>
          <w:ilvl w:val="0"/>
          <w:numId w:val="2"/>
        </w:numPr>
        <w:ind w:left="567" w:hanging="567"/>
      </w:pPr>
      <w:r>
        <w:t>Het AI-Witboek en de daaruit voortvloeiende beleidsmaatregelen dienen in samenhang gebracht te worden met de gelijktijdig met het Witboek AI gepresenteerde mededeling ‘De digitale toekomst van Europa vormgeven’ en de mededeling over een Europese datastrategie. Daarnaast dient het Witboek in verbinding te worden gebracht met een aantal andere beleidsterreinen van de Commissie, zoals bijvoorbeeld de Agenda voor Vaardigheden voor Europa</w:t>
      </w:r>
      <w:r w:rsidR="00815D81" w:rsidRPr="00086763">
        <w:rPr>
          <w:sz w:val="24"/>
          <w:szCs w:val="24"/>
          <w:vertAlign w:val="superscript"/>
        </w:rPr>
        <w:footnoteReference w:id="4"/>
      </w:r>
      <w:r>
        <w:t xml:space="preserve"> en de aanbeveling over een gemeenschappelijke toolbox voor het gebruik van technologie en gegevens om de COVID</w:t>
      </w:r>
      <w:r>
        <w:noBreakHyphen/>
        <w:t>19-crisis te bestrijden en het herstel hierna, met name wat betreft mobiele applicaties en het gebruik van geanonimiseerde mobiliteitsgegevens</w:t>
      </w:r>
      <w:r w:rsidR="00815D81" w:rsidRPr="00086763">
        <w:rPr>
          <w:sz w:val="24"/>
          <w:szCs w:val="24"/>
          <w:vertAlign w:val="superscript"/>
        </w:rPr>
        <w:footnoteReference w:id="5"/>
      </w:r>
      <w:r>
        <w:t>.</w:t>
      </w:r>
    </w:p>
    <w:p w14:paraId="5A30425C" w14:textId="77777777" w:rsidR="00815D81" w:rsidRPr="00086763" w:rsidRDefault="00815D81">
      <w:pPr>
        <w:pStyle w:val="Heading1"/>
        <w:numPr>
          <w:ilvl w:val="0"/>
          <w:numId w:val="0"/>
        </w:numPr>
        <w:ind w:left="567"/>
      </w:pPr>
    </w:p>
    <w:p w14:paraId="086EACED" w14:textId="20B26224" w:rsidR="00FA265E" w:rsidRPr="00086763" w:rsidRDefault="009844D5">
      <w:pPr>
        <w:pStyle w:val="Heading1"/>
        <w:numPr>
          <w:ilvl w:val="0"/>
          <w:numId w:val="2"/>
        </w:numPr>
        <w:ind w:left="567" w:hanging="567"/>
      </w:pPr>
      <w:r>
        <w:t>De aanbevelingen van het CvdR dienen voor zover relevant mede te worden bezien in samenhang met deze Europese beleidsvormingsdocumenten.</w:t>
      </w:r>
    </w:p>
    <w:p w14:paraId="18ECA9FC" w14:textId="77777777" w:rsidR="00FA265E" w:rsidRPr="00086763" w:rsidRDefault="00FA265E"/>
    <w:p w14:paraId="4A41F0A1" w14:textId="06B24E27" w:rsidR="00E6061E" w:rsidRPr="00086763" w:rsidRDefault="00FA265E">
      <w:pPr>
        <w:pStyle w:val="Heading1"/>
        <w:numPr>
          <w:ilvl w:val="0"/>
          <w:numId w:val="2"/>
        </w:numPr>
        <w:ind w:left="567" w:hanging="567"/>
      </w:pPr>
      <w:r>
        <w:t xml:space="preserve">Het CvdR verwelkomt de aanpak van de Commissie, die in de kern neerkomt op het ontwikkelen van mensgerichte AI, en haar ambitie om een voortrekkersrol te spelen bij het vaststellen van ethische normen. Terecht wijst de Commissie er daarbij op dat de voordelen van AI afhangen van het vertrouwen van het publiek in AI. </w:t>
      </w:r>
    </w:p>
    <w:p w14:paraId="5EB92049" w14:textId="77777777" w:rsidR="006F69EA" w:rsidRPr="00086763" w:rsidRDefault="006F69EA"/>
    <w:p w14:paraId="7F187B83" w14:textId="289C0073" w:rsidR="006F69EA" w:rsidRPr="00086763" w:rsidRDefault="009844D5">
      <w:pPr>
        <w:pStyle w:val="Heading1"/>
        <w:numPr>
          <w:ilvl w:val="0"/>
          <w:numId w:val="2"/>
        </w:numPr>
        <w:ind w:left="567" w:hanging="567"/>
      </w:pPr>
      <w:r>
        <w:t>Het debat over toekomstige beleidsmaatregelen waarmee aan vertrouwen in AI kan worden gebouwd, dient evenwel ook in te gaan op vragen over eigendom van data, algoritmes, platforms, over het borgen van publieke waarden op platforms en over wie uiteindelijk het meeste verdient aan AI-toepassingen en wie de prijs daarvoor betaalt (en of dat maatschappelijk acceptabel is).</w:t>
      </w:r>
    </w:p>
    <w:p w14:paraId="69475F7A" w14:textId="77777777" w:rsidR="00E6061E" w:rsidRPr="00086763" w:rsidRDefault="00E6061E"/>
    <w:p w14:paraId="7226B424" w14:textId="773C9EA5" w:rsidR="00944306" w:rsidRPr="00086763" w:rsidRDefault="006F69EA">
      <w:pPr>
        <w:pStyle w:val="Heading1"/>
        <w:numPr>
          <w:ilvl w:val="0"/>
          <w:numId w:val="2"/>
        </w:numPr>
        <w:ind w:left="567" w:hanging="567"/>
      </w:pPr>
      <w:r>
        <w:t>Het CvdR wijst erop dat, gelet op het feit dat AI een groot aantal andere beleidsterreinen raakt, het risico bestaat dat de samenhang tussen deze beleidsterreinen verwatert en dat die beleidsterreinen zich in een vacuüm ontwikkelen.</w:t>
      </w:r>
    </w:p>
    <w:p w14:paraId="51D9CDB3" w14:textId="77777777" w:rsidR="001C0CA3" w:rsidRPr="00086763" w:rsidRDefault="001C0CA3">
      <w:pPr>
        <w:pStyle w:val="Heading1"/>
        <w:numPr>
          <w:ilvl w:val="0"/>
          <w:numId w:val="0"/>
        </w:numPr>
        <w:ind w:left="567"/>
      </w:pPr>
    </w:p>
    <w:p w14:paraId="2BB53959" w14:textId="50763639" w:rsidR="00B75770" w:rsidRPr="00086763" w:rsidRDefault="00B75770">
      <w:pPr>
        <w:pStyle w:val="Heading1"/>
        <w:numPr>
          <w:ilvl w:val="0"/>
          <w:numId w:val="2"/>
        </w:numPr>
        <w:ind w:left="567" w:hanging="567"/>
      </w:pPr>
      <w:r>
        <w:t>Het CvdR geeft de Commissie in overweging mee om een routekaart en aanpak te formuleren waarmee de samenhang tussen de verschillende beleidsvelden kan worden bevorderd.</w:t>
      </w:r>
    </w:p>
    <w:p w14:paraId="6265E5B2" w14:textId="77777777" w:rsidR="002B77F2" w:rsidRPr="00086763" w:rsidRDefault="002B77F2"/>
    <w:p w14:paraId="7A29B9BF" w14:textId="77777777" w:rsidR="002B77F2" w:rsidRPr="00086763" w:rsidRDefault="002B77F2" w:rsidP="0035109F">
      <w:pPr>
        <w:keepNext/>
        <w:tabs>
          <w:tab w:val="left" w:pos="-2268"/>
        </w:tabs>
        <w:rPr>
          <w:bCs/>
        </w:rPr>
      </w:pPr>
      <w:r>
        <w:t>Kansen benutten</w:t>
      </w:r>
    </w:p>
    <w:p w14:paraId="2DC7DDA8" w14:textId="77777777" w:rsidR="002B77F2" w:rsidRPr="00086763" w:rsidRDefault="002B77F2">
      <w:pPr>
        <w:keepNext/>
      </w:pPr>
    </w:p>
    <w:p w14:paraId="678F46E0" w14:textId="620B05D7" w:rsidR="00BF17B6" w:rsidRPr="00086763" w:rsidRDefault="00994207">
      <w:pPr>
        <w:pStyle w:val="Heading1"/>
        <w:numPr>
          <w:ilvl w:val="0"/>
          <w:numId w:val="2"/>
        </w:numPr>
        <w:ind w:left="567" w:hanging="567"/>
      </w:pPr>
      <w:r>
        <w:t xml:space="preserve">Het Europees beleid dient stevig in te zetten op versterking van en investeren in (de organisatie en het aanjagen van) multidisciplinaire lokale en regionale netwerken van burgers, overheden, </w:t>
      </w:r>
      <w:r>
        <w:lastRenderedPageBreak/>
        <w:t>kennisinstellingen en bedrijven. Het CvdR meent dat de door de Commissie voorgestelde innovatiehubs daarbij een centrale rol spelen.</w:t>
      </w:r>
    </w:p>
    <w:p w14:paraId="7E9EFF33" w14:textId="77777777" w:rsidR="00BF17B6" w:rsidRPr="00086763" w:rsidRDefault="00BF17B6"/>
    <w:p w14:paraId="34B14316" w14:textId="38412297" w:rsidR="00815D81" w:rsidRPr="00086763" w:rsidRDefault="00994207">
      <w:pPr>
        <w:pStyle w:val="Heading1"/>
        <w:numPr>
          <w:ilvl w:val="0"/>
          <w:numId w:val="2"/>
        </w:numPr>
        <w:ind w:left="567" w:hanging="567"/>
      </w:pPr>
      <w:r>
        <w:t>AI heeft het potentieel om bij te dragen aan het oplossen van maatschappelijke uitdagingen op het gebied van onder andere de gezondheidszorg (met de bestrijding van de wereldwijde COVID-19-crisis als belangrijkste recente voorbeeld), veiligheid, klimaat, mobiliteit en transport, sociale ondersteuning, hightech industrie, retail, landbouw, toerisme en overheidsdienstverlening.</w:t>
      </w:r>
    </w:p>
    <w:p w14:paraId="0F676AB4" w14:textId="77777777" w:rsidR="00815D81" w:rsidRPr="00086763" w:rsidRDefault="00815D81"/>
    <w:p w14:paraId="0D75285A" w14:textId="07E91BFD" w:rsidR="00815D81" w:rsidRPr="00086763" w:rsidRDefault="00994207">
      <w:pPr>
        <w:pStyle w:val="Heading1"/>
        <w:numPr>
          <w:ilvl w:val="0"/>
          <w:numId w:val="2"/>
        </w:numPr>
        <w:ind w:left="567" w:hanging="567"/>
      </w:pPr>
      <w:r>
        <w:t>AI heeft de potentie om nieuwe werkgelegenheid en nieuw ondernemerschap te creëren. De Commissie erkent terecht dat een belangrijke randvoorwaarde is dat burgers die technologie moeten kunnen vertrouwen. Een strategisch EU-kader op basis van fundamentele waarden moet dat vertrouwen geven en bedrijven aanmoedigen om AI-oplossingen te ontwikkelen.</w:t>
      </w:r>
    </w:p>
    <w:p w14:paraId="1FA1AE7D" w14:textId="77777777" w:rsidR="00815D81" w:rsidRPr="00086763" w:rsidRDefault="00815D81">
      <w:pPr>
        <w:pStyle w:val="Heading1"/>
        <w:numPr>
          <w:ilvl w:val="0"/>
          <w:numId w:val="0"/>
        </w:numPr>
        <w:ind w:left="567"/>
      </w:pPr>
    </w:p>
    <w:p w14:paraId="18AFC376" w14:textId="2E2E5680" w:rsidR="00815D81" w:rsidRPr="00086763" w:rsidRDefault="00815D81">
      <w:pPr>
        <w:pStyle w:val="Heading1"/>
        <w:numPr>
          <w:ilvl w:val="0"/>
          <w:numId w:val="2"/>
        </w:numPr>
        <w:ind w:left="567" w:hanging="567"/>
      </w:pPr>
      <w:r>
        <w:t>Het CvdR onderschrijft het belang van een gelijk speelveld binnen de Europese markt. Bijzondere aandacht in dit verband verdient de toegang van het midden- en kleinbedrijf (mkb) en start-ups tot AI. Zij vormen een belangrijke aanjager voor lokale en regionale economieën. Europese digitale-innovatiehubs en toekomstige regelgevingskaders en beleidsmaatregelen spelen een cruciale rol bij de bevordering van gelijke kansen ten aanzien van de toegang tot AI en met name bij de ondersteuning van micro-, kleine en middelgrote ondernemingen om toegang te krijgen tot AI.</w:t>
      </w:r>
    </w:p>
    <w:p w14:paraId="29EA3560" w14:textId="77777777" w:rsidR="00815D81" w:rsidRPr="00086763" w:rsidRDefault="00815D81">
      <w:pPr>
        <w:pStyle w:val="Heading1"/>
        <w:numPr>
          <w:ilvl w:val="0"/>
          <w:numId w:val="0"/>
        </w:numPr>
        <w:ind w:left="567"/>
      </w:pPr>
    </w:p>
    <w:p w14:paraId="190E5D7F" w14:textId="63580F52" w:rsidR="00630892" w:rsidRPr="00086763" w:rsidRDefault="00815D81">
      <w:pPr>
        <w:pStyle w:val="Heading1"/>
        <w:numPr>
          <w:ilvl w:val="0"/>
          <w:numId w:val="2"/>
        </w:numPr>
        <w:ind w:left="567" w:hanging="567"/>
        <w:rPr>
          <w:i/>
          <w:iCs/>
        </w:rPr>
      </w:pPr>
      <w:r>
        <w:t>Het CvdR begrijpt dat de Commissie inzet op het benutten van de sterke positie van Europa op industriële en professionele (bestaande) markten</w:t>
      </w:r>
      <w:r w:rsidRPr="00086763">
        <w:rPr>
          <w:sz w:val="24"/>
          <w:szCs w:val="24"/>
          <w:vertAlign w:val="superscript"/>
        </w:rPr>
        <w:footnoteReference w:id="6"/>
      </w:r>
      <w:r>
        <w:t>. Het CvdR wil benadrukken dat deze strategie evenwel niet ten koste mag gaan van de productiviteit, het innoverend vermogen en het DNA van lokale en regionale ecosystemen.</w:t>
      </w:r>
    </w:p>
    <w:p w14:paraId="57259EC3" w14:textId="77777777" w:rsidR="00815D81" w:rsidRPr="00086763" w:rsidRDefault="00815D81">
      <w:pPr>
        <w:pStyle w:val="Heading1"/>
        <w:numPr>
          <w:ilvl w:val="0"/>
          <w:numId w:val="0"/>
        </w:numPr>
        <w:rPr>
          <w:i/>
          <w:iCs/>
        </w:rPr>
      </w:pPr>
    </w:p>
    <w:p w14:paraId="59487F92" w14:textId="66ABE23F" w:rsidR="00815D81" w:rsidRPr="00086763" w:rsidRDefault="00197F09">
      <w:pPr>
        <w:pStyle w:val="Heading1"/>
        <w:numPr>
          <w:ilvl w:val="0"/>
          <w:numId w:val="2"/>
        </w:numPr>
        <w:ind w:left="567" w:hanging="567"/>
        <w:rPr>
          <w:i/>
          <w:iCs/>
        </w:rPr>
      </w:pPr>
      <w:r>
        <w:t>Lokale en regionale overheden werken namelijk in deze ecosystemen aan een groot scala van maatschappelijke opgaven. Zij kunnen een belangrijke rol spelen als het gaat om het versnellen van impactvolle innovaties op deze maatschappelijke opgaven.</w:t>
      </w:r>
    </w:p>
    <w:p w14:paraId="4D52F0FC" w14:textId="77777777" w:rsidR="00815D81" w:rsidRPr="00086763" w:rsidRDefault="00815D81">
      <w:pPr>
        <w:pStyle w:val="Heading1"/>
        <w:numPr>
          <w:ilvl w:val="0"/>
          <w:numId w:val="0"/>
        </w:numPr>
        <w:ind w:left="567"/>
        <w:rPr>
          <w:i/>
          <w:iCs/>
        </w:rPr>
      </w:pPr>
    </w:p>
    <w:p w14:paraId="01F3D170" w14:textId="59E1A2DB" w:rsidR="00815D81" w:rsidRPr="00086763" w:rsidRDefault="00197F09">
      <w:pPr>
        <w:pStyle w:val="Heading1"/>
        <w:numPr>
          <w:ilvl w:val="0"/>
          <w:numId w:val="2"/>
        </w:numPr>
        <w:ind w:left="567" w:hanging="567"/>
        <w:rPr>
          <w:i/>
          <w:iCs/>
        </w:rPr>
      </w:pPr>
      <w:r>
        <w:t>Lokale en regionale overheden zijn het beste in staat om bij te dragen aan het scheppen van een gunstig klimaat voor een toename van de investeringen in AI in de komende jaren en het bevorderen van het vertrouwen in AI binnen de verschillende schakels van de waardeketens. Reden hiervoor is dat zij het dichtst bij de praktijk staan en lokale multidisciplinaire netwerken kunnen aanjagen.</w:t>
      </w:r>
    </w:p>
    <w:p w14:paraId="01B659A8" w14:textId="77777777" w:rsidR="00815D81" w:rsidRPr="00086763" w:rsidRDefault="00815D81">
      <w:pPr>
        <w:pStyle w:val="Heading1"/>
        <w:numPr>
          <w:ilvl w:val="0"/>
          <w:numId w:val="0"/>
        </w:numPr>
        <w:ind w:left="567"/>
        <w:rPr>
          <w:i/>
          <w:iCs/>
        </w:rPr>
      </w:pPr>
    </w:p>
    <w:p w14:paraId="4B9A3CB4" w14:textId="72D54BB6" w:rsidR="00815D81" w:rsidRPr="00086763" w:rsidRDefault="00197F09">
      <w:pPr>
        <w:pStyle w:val="Heading1"/>
        <w:numPr>
          <w:ilvl w:val="0"/>
          <w:numId w:val="2"/>
        </w:numPr>
        <w:ind w:left="567" w:hanging="567"/>
        <w:rPr>
          <w:i/>
          <w:iCs/>
        </w:rPr>
      </w:pPr>
      <w:r>
        <w:t>Er zal aanzienlijke EU-steun beschikbaar moeten worden gesteld om particuliere en openbare investeringen te stimuleren en er zal moeten worden voorzien in middelen uit het programma Digitaal Europa, Horizon Europa en de Europese Structuur- en Investeringsfondsen om tegemoet te komen aan de behoeften van lokale ecosystemen.</w:t>
      </w:r>
    </w:p>
    <w:p w14:paraId="7717987A" w14:textId="77777777" w:rsidR="00815D81" w:rsidRPr="00086763" w:rsidRDefault="00815D81">
      <w:pPr>
        <w:pStyle w:val="Heading1"/>
        <w:numPr>
          <w:ilvl w:val="0"/>
          <w:numId w:val="0"/>
        </w:numPr>
        <w:ind w:left="567"/>
        <w:rPr>
          <w:i/>
          <w:iCs/>
        </w:rPr>
      </w:pPr>
    </w:p>
    <w:p w14:paraId="5F4189BD" w14:textId="06915399" w:rsidR="00815D81" w:rsidRPr="00086763" w:rsidRDefault="00197F09">
      <w:pPr>
        <w:pStyle w:val="Heading1"/>
        <w:numPr>
          <w:ilvl w:val="0"/>
          <w:numId w:val="2"/>
        </w:numPr>
        <w:ind w:left="567" w:hanging="567"/>
      </w:pPr>
      <w:r>
        <w:t xml:space="preserve">Subsidie-instrumenten dienen gericht te zijn op specifieke AI-toepassingen die zich lenen voor opschaling. Om optimaal de kansen van AI te benutten dienen kleinschalige projecten te worden </w:t>
      </w:r>
      <w:r>
        <w:lastRenderedPageBreak/>
        <w:t>bevorderd en de financiële lasten van deze projecten te worden beperkt, waardoor het voor lokale en regionale overheden aantrekkelijker wordt om deel te nemen aan Europees gefinancierde projecten.</w:t>
      </w:r>
    </w:p>
    <w:p w14:paraId="704DF697" w14:textId="77777777" w:rsidR="00815D81" w:rsidRPr="00086763" w:rsidRDefault="00815D81">
      <w:pPr>
        <w:pStyle w:val="Heading1"/>
        <w:numPr>
          <w:ilvl w:val="0"/>
          <w:numId w:val="0"/>
        </w:numPr>
        <w:ind w:left="567"/>
      </w:pPr>
    </w:p>
    <w:p w14:paraId="79FA0460" w14:textId="1E0E92BB" w:rsidR="00B84BEA" w:rsidRPr="00086763" w:rsidRDefault="004F60D4">
      <w:pPr>
        <w:pStyle w:val="Heading1"/>
        <w:numPr>
          <w:ilvl w:val="0"/>
          <w:numId w:val="2"/>
        </w:numPr>
        <w:ind w:left="567" w:hanging="567"/>
        <w:rPr>
          <w:i/>
          <w:iCs/>
        </w:rPr>
      </w:pPr>
      <w:r>
        <w:t>Het CvdR onderschrijft de aanpak voor de ontwikkeling van AI binnen digitale innovatiehubs. Subsidie-instrumenten voor digitale innovatiehubs dienen in dit verband vooral gericht te zijn op het stimuleren van lokale en regionale ecosystemen.</w:t>
      </w:r>
    </w:p>
    <w:p w14:paraId="0786CB18" w14:textId="77777777" w:rsidR="00815D81" w:rsidRPr="00086763" w:rsidRDefault="00815D81">
      <w:pPr>
        <w:pStyle w:val="Heading1"/>
        <w:numPr>
          <w:ilvl w:val="0"/>
          <w:numId w:val="0"/>
        </w:numPr>
        <w:rPr>
          <w:i/>
          <w:iCs/>
        </w:rPr>
      </w:pPr>
    </w:p>
    <w:p w14:paraId="592A00B4" w14:textId="4F13D3BF" w:rsidR="00815D81" w:rsidRPr="00086763" w:rsidRDefault="00815D81">
      <w:pPr>
        <w:pStyle w:val="Heading1"/>
        <w:numPr>
          <w:ilvl w:val="0"/>
          <w:numId w:val="2"/>
        </w:numPr>
        <w:ind w:left="567" w:hanging="567"/>
        <w:rPr>
          <w:i/>
          <w:iCs/>
        </w:rPr>
      </w:pPr>
      <w:r>
        <w:t>Het CvdR is verheugd dat de Commissie wil inzetten op het ontwikkelen van producten die zijn gebaseerd op AI in de publieke sector</w:t>
      </w:r>
      <w:r w:rsidRPr="00086763">
        <w:rPr>
          <w:vertAlign w:val="superscript"/>
        </w:rPr>
        <w:footnoteReference w:id="7"/>
      </w:r>
      <w:r>
        <w:t>.</w:t>
      </w:r>
    </w:p>
    <w:p w14:paraId="63A7AA81" w14:textId="77777777" w:rsidR="00815D81" w:rsidRPr="00086763" w:rsidRDefault="00815D81">
      <w:pPr>
        <w:pStyle w:val="Heading1"/>
        <w:numPr>
          <w:ilvl w:val="0"/>
          <w:numId w:val="0"/>
        </w:numPr>
        <w:ind w:left="567"/>
      </w:pPr>
    </w:p>
    <w:p w14:paraId="3244F559" w14:textId="465A6F6B" w:rsidR="00815D81" w:rsidRPr="00086763" w:rsidRDefault="00197F09">
      <w:pPr>
        <w:pStyle w:val="Heading1"/>
        <w:numPr>
          <w:ilvl w:val="0"/>
          <w:numId w:val="2"/>
        </w:numPr>
        <w:ind w:left="567" w:hanging="567"/>
        <w:rPr>
          <w:i/>
          <w:iCs/>
        </w:rPr>
      </w:pPr>
      <w:r>
        <w:t xml:space="preserve">De inzet van de Commissie op het ontwikkelen van AI in de publieke sector dient zich evenwel niet te beperken tot reeds bewezen AI-technologie in vooraf afgebakende sectoren. De lokale en regionale overheden kunnen namelijk als </w:t>
      </w:r>
      <w:r>
        <w:rPr>
          <w:i/>
        </w:rPr>
        <w:t>launching customer</w:t>
      </w:r>
      <w:r>
        <w:t xml:space="preserve"> juist een belangrijke rol vervullen als het gaat om versnellen van (nieuwe) AI-technologie.</w:t>
      </w:r>
    </w:p>
    <w:p w14:paraId="1A85330C" w14:textId="77777777" w:rsidR="00815D81" w:rsidRPr="00086763" w:rsidRDefault="00815D81">
      <w:pPr>
        <w:pStyle w:val="Heading1"/>
        <w:numPr>
          <w:ilvl w:val="0"/>
          <w:numId w:val="0"/>
        </w:numPr>
        <w:ind w:left="567"/>
      </w:pPr>
    </w:p>
    <w:p w14:paraId="0304136D" w14:textId="0D5D78DE" w:rsidR="007D6385" w:rsidRPr="00086763" w:rsidRDefault="00197F09">
      <w:pPr>
        <w:pStyle w:val="Heading1"/>
        <w:numPr>
          <w:ilvl w:val="0"/>
          <w:numId w:val="2"/>
        </w:numPr>
        <w:ind w:left="567" w:hanging="567"/>
        <w:rPr>
          <w:bCs/>
          <w:iCs/>
          <w:szCs w:val="22"/>
        </w:rPr>
      </w:pPr>
      <w:r>
        <w:t>De Commissie zou alle, dus ook de lokale en regionale overheden moeten aansporen strenge effectbeoordelingen op het gebied van de grondrechten uit te voeren wanneer AI-systemen in de publieke sector worden ingezet. Overheden zouden, met name in dringende situaties, geen beroep mogen doen op AI-toezichtstechnologieën voordat de uitkomsten van zulke effectbeoordelingen bekend zijn en de noodzakelijke aanpassingen zijn doorgevoerd.</w:t>
      </w:r>
    </w:p>
    <w:p w14:paraId="4E69FBB0" w14:textId="77777777" w:rsidR="007D6385" w:rsidRPr="00086763" w:rsidRDefault="007D6385" w:rsidP="0035109F"/>
    <w:p w14:paraId="52E96688" w14:textId="536DC5DE" w:rsidR="00791EB7" w:rsidRPr="00086763" w:rsidRDefault="00815D81">
      <w:pPr>
        <w:pStyle w:val="Heading1"/>
        <w:numPr>
          <w:ilvl w:val="0"/>
          <w:numId w:val="2"/>
        </w:numPr>
        <w:ind w:left="567" w:hanging="567"/>
      </w:pPr>
      <w:r>
        <w:t>Het CvdR dringt aan op de ontwikkeling van een aanbestedingskader en een juridisch instrumentarium, bijvoorbeeld standaard inkoopvoorwaarden, waarmee lokale en regionale overheden handelingsperspectief wordt geboden en waarmee kansen optimaal kunnen worden benut.</w:t>
      </w:r>
    </w:p>
    <w:p w14:paraId="5356AB52" w14:textId="77777777" w:rsidR="00791EB7" w:rsidRPr="00086763" w:rsidRDefault="00791EB7"/>
    <w:p w14:paraId="3EF75A75" w14:textId="79F2D764" w:rsidR="00DE385D" w:rsidRPr="00086763" w:rsidRDefault="00197F09">
      <w:pPr>
        <w:pStyle w:val="Heading1"/>
        <w:numPr>
          <w:ilvl w:val="0"/>
          <w:numId w:val="2"/>
        </w:numPr>
        <w:ind w:left="567" w:hanging="567"/>
      </w:pPr>
      <w:r>
        <w:t xml:space="preserve">De waarde van data ligt in het hergebruik, onder andere in toepassingen van AI. Het sectoroverstijgend, cyberbeveiligd delen van data bevordert AI-innovatie. Het CvdR dringt er bij de Commissie op aan om de algemene verordening gegevensbescherming 2016/679 te gebruiken en de noodzaak te onderzoeken van een aanvullend specifiek AI-regelgevingskader voor het laagdrempelig en betrouwbaar delen en hergebruiken van data tussen bedrijven en overheden (B2G), met name wanneer het gaat om data die het publiek belang kan dienen, zoals bij de COVID-19-pandemie. Daarbij is ook gebleken dat het gebruik van bedrijfsgegevens door de overheid belangrijk is. Het potentieel ervan moet worden benut, want het biedt de mogelijkheid om de administratieve lasten voor bedrijven te verminderen en het is in veel gevallen – denke men maar aan de platformeconomie – de enige manier waarop de overheid haar wettelijke verplichtingen kan nakomen. </w:t>
      </w:r>
    </w:p>
    <w:p w14:paraId="32560309" w14:textId="77777777" w:rsidR="00815D81" w:rsidRPr="00086763" w:rsidRDefault="00815D81">
      <w:pPr>
        <w:pStyle w:val="Heading1"/>
        <w:numPr>
          <w:ilvl w:val="0"/>
          <w:numId w:val="0"/>
        </w:numPr>
        <w:ind w:left="567"/>
      </w:pPr>
    </w:p>
    <w:p w14:paraId="28BF4384" w14:textId="38816926" w:rsidR="00815D81" w:rsidRPr="00086763" w:rsidRDefault="00197F09">
      <w:pPr>
        <w:pStyle w:val="Heading1"/>
        <w:numPr>
          <w:ilvl w:val="0"/>
          <w:numId w:val="2"/>
        </w:numPr>
        <w:ind w:left="567" w:hanging="567"/>
      </w:pPr>
      <w:r>
        <w:t>Het is nodig om op Europees niveau te investeren in een gedeelde cyberbeveiligde basisinfrastructuur, data-architectuur en kwaliteitsstandaarden ten aanzien van veiligheid, datasets en statistiek. Dit verlaagt de instapdrempel om AI-toepassingen te gebruiken en vergroot het vertrouwen in digitalisering, waardoor de ontwikkeling en de toepassing van AI worden bevorderd.</w:t>
      </w:r>
    </w:p>
    <w:p w14:paraId="4C8DF139" w14:textId="77777777" w:rsidR="00815D81" w:rsidRPr="00086763" w:rsidRDefault="00815D81">
      <w:pPr>
        <w:pStyle w:val="Heading1"/>
        <w:numPr>
          <w:ilvl w:val="0"/>
          <w:numId w:val="0"/>
        </w:numPr>
        <w:ind w:left="567"/>
      </w:pPr>
    </w:p>
    <w:p w14:paraId="7C6C027A" w14:textId="5D1D615B" w:rsidR="00815D81" w:rsidRPr="00086763" w:rsidRDefault="00197F09">
      <w:pPr>
        <w:pStyle w:val="Heading1"/>
        <w:numPr>
          <w:ilvl w:val="0"/>
          <w:numId w:val="2"/>
        </w:numPr>
        <w:ind w:left="567" w:hanging="567"/>
      </w:pPr>
      <w:r>
        <w:t>Ook dienen AI-applicaties die met publieke middelen zijn ontwikkeld zo veel mogelijk aan de samenleving te worden teruggegeven. Dergelijke AI-applicaties dienen in beginsel bijvoorbeeld onder open source-voorwaarden te worden ontwikkeld, waarbij ook wordt erkend dat er financiering nodig is voor ontwikkeling.</w:t>
      </w:r>
    </w:p>
    <w:p w14:paraId="56A7FC4D" w14:textId="77777777" w:rsidR="00815D81" w:rsidRPr="00086763" w:rsidRDefault="00815D81">
      <w:pPr>
        <w:pStyle w:val="Heading1"/>
        <w:numPr>
          <w:ilvl w:val="0"/>
          <w:numId w:val="0"/>
        </w:numPr>
        <w:ind w:left="567"/>
      </w:pPr>
    </w:p>
    <w:p w14:paraId="05870B17" w14:textId="77777777" w:rsidR="00815D81" w:rsidRPr="00086763" w:rsidRDefault="00815D81">
      <w:pPr>
        <w:pStyle w:val="Heading1"/>
        <w:keepNext/>
        <w:numPr>
          <w:ilvl w:val="0"/>
          <w:numId w:val="0"/>
        </w:numPr>
        <w:ind w:left="567"/>
        <w:rPr>
          <w:bCs/>
        </w:rPr>
      </w:pPr>
      <w:r>
        <w:t>Wetgeving en beleid: een lerende aanpak</w:t>
      </w:r>
    </w:p>
    <w:p w14:paraId="316D8BA7" w14:textId="77777777" w:rsidR="00815D81" w:rsidRPr="00086763" w:rsidRDefault="00815D81">
      <w:pPr>
        <w:pStyle w:val="Heading1"/>
        <w:keepNext/>
        <w:numPr>
          <w:ilvl w:val="0"/>
          <w:numId w:val="0"/>
        </w:numPr>
        <w:ind w:left="567"/>
      </w:pPr>
    </w:p>
    <w:p w14:paraId="5293535E" w14:textId="42B9309C" w:rsidR="00815D81" w:rsidRPr="00086763" w:rsidRDefault="00037579">
      <w:pPr>
        <w:pStyle w:val="Heading1"/>
        <w:numPr>
          <w:ilvl w:val="0"/>
          <w:numId w:val="2"/>
        </w:numPr>
        <w:ind w:left="567" w:hanging="567"/>
      </w:pPr>
      <w:r>
        <w:t>Het CvdR neemt met belangstelling kennis van de vooruitgang die is geboekt met de definitie van AI, zoals blijkt uit de bijgewerkte definitie</w:t>
      </w:r>
      <w:r w:rsidR="00106CF6" w:rsidRPr="00086763">
        <w:rPr>
          <w:rStyle w:val="FootnoteReference"/>
          <w:sz w:val="24"/>
          <w:szCs w:val="24"/>
        </w:rPr>
        <w:footnoteReference w:id="8"/>
      </w:r>
      <w:r>
        <w:t xml:space="preserve"> van de door de Commissie opgezette onafhankelijke deskundigengroep op hoog niveau inzake AI. Het CvdR meent dat deze definitie beter recht doet aan de technische mogelijkheden van AI. Het definiëren van AI moet echter een continu proces zijn, dat rekening houdt met de context waarbinnen AI functioneert, gelijk opgaat met de maatschappelijke ontwikkelingen op dit gebied en waarbij het verband tussen het door de Commissie gepresenteerde ecosysteem van excellentie en het ecosysteem van vertrouwen niet uit het oog wordt verloren.</w:t>
      </w:r>
    </w:p>
    <w:p w14:paraId="3ECC1D03" w14:textId="77777777" w:rsidR="00815D81" w:rsidRPr="00086763" w:rsidRDefault="00815D81">
      <w:pPr>
        <w:pStyle w:val="Heading1"/>
        <w:numPr>
          <w:ilvl w:val="0"/>
          <w:numId w:val="0"/>
        </w:numPr>
        <w:ind w:left="567"/>
      </w:pPr>
    </w:p>
    <w:p w14:paraId="3781DB1A" w14:textId="173387BF" w:rsidR="00815D81" w:rsidRPr="00086763" w:rsidRDefault="00197F09">
      <w:pPr>
        <w:pStyle w:val="Heading1"/>
        <w:numPr>
          <w:ilvl w:val="0"/>
          <w:numId w:val="2"/>
        </w:numPr>
        <w:ind w:left="567" w:hanging="567"/>
      </w:pPr>
      <w:r>
        <w:t>Volgens het CvdR bestaat een AI-systeem uit een combinatie van technische onderdelen die data, algoritmen en rekenkracht verbinden aan sociale praktijken, samenleving, identiteit en cultuur. De definitie van zo’n socio-technische verzameling moet daarom regelmatig worden bijgewerkt om de steeds grotere maatschappelijke impact van AI nauwgezet te weerspiegelen, waarbij de snel veranderende AI-gerelateerde kansen en uitdagingen in kaart moeten worden gebracht.</w:t>
      </w:r>
    </w:p>
    <w:p w14:paraId="0BBF3436" w14:textId="77777777" w:rsidR="00815D81" w:rsidRPr="00086763" w:rsidRDefault="00815D81">
      <w:pPr>
        <w:pStyle w:val="Heading1"/>
        <w:numPr>
          <w:ilvl w:val="0"/>
          <w:numId w:val="0"/>
        </w:numPr>
        <w:ind w:left="567"/>
      </w:pPr>
    </w:p>
    <w:p w14:paraId="4142C532" w14:textId="4D9F4353" w:rsidR="00815D81" w:rsidRPr="00086763" w:rsidRDefault="00EC1BC5">
      <w:pPr>
        <w:pStyle w:val="Heading1"/>
        <w:numPr>
          <w:ilvl w:val="0"/>
          <w:numId w:val="2"/>
        </w:numPr>
        <w:ind w:left="567" w:hanging="567"/>
      </w:pPr>
      <w:r>
        <w:t>Het waarborgen van fundamentele rechten, consumentenrechten, transparantie bij het gebruik van voornoemde technische onderdelen en regels ten aanzien van aansprakelijkheid en productveiligheid zijn volgens de Commissie de belangrijkste kernelementen die het ecosysteem van vertrouwen vormen. Deze kernelementen vormen een basis voor een toekomstig EU-regelgevingskader voor AI.</w:t>
      </w:r>
    </w:p>
    <w:p w14:paraId="3993F73D" w14:textId="77777777" w:rsidR="00815D81" w:rsidRPr="00086763" w:rsidRDefault="00815D81">
      <w:pPr>
        <w:pStyle w:val="Heading1"/>
        <w:numPr>
          <w:ilvl w:val="0"/>
          <w:numId w:val="0"/>
        </w:numPr>
        <w:ind w:left="567"/>
      </w:pPr>
    </w:p>
    <w:p w14:paraId="65EA5814" w14:textId="3574789C" w:rsidR="00BD0FCA" w:rsidRPr="00086763" w:rsidRDefault="00BD0FCA">
      <w:pPr>
        <w:pStyle w:val="Heading1"/>
        <w:numPr>
          <w:ilvl w:val="0"/>
          <w:numId w:val="2"/>
        </w:numPr>
        <w:ind w:left="567" w:hanging="567"/>
      </w:pPr>
      <w:r>
        <w:t>Het CvdR wijst erop dat machinaal leren in de AI-industrie gebaseerd is op programmering door mensen, wat kan leiden tot wijdverbreide vooroordelen. De EU zou daarom mechanismen moeten invoeren om ervoor te zorgen dat bij de ontwikkeling en toepassing van AI-technologie sprake is van gelijkheid en inclusiviteit wat geslacht, ras en wereldbeeld betreft.</w:t>
      </w:r>
    </w:p>
    <w:p w14:paraId="43152E01" w14:textId="77777777" w:rsidR="00BD0FCA" w:rsidRPr="00086763" w:rsidRDefault="00BD0FCA" w:rsidP="00A86096">
      <w:pPr>
        <w:pStyle w:val="Heading1"/>
        <w:numPr>
          <w:ilvl w:val="0"/>
          <w:numId w:val="0"/>
        </w:numPr>
        <w:ind w:left="567"/>
      </w:pPr>
    </w:p>
    <w:p w14:paraId="7C80C476" w14:textId="0263A09C" w:rsidR="00815D81" w:rsidRPr="00086763" w:rsidRDefault="00EC1BC5">
      <w:pPr>
        <w:pStyle w:val="Heading1"/>
        <w:numPr>
          <w:ilvl w:val="0"/>
          <w:numId w:val="2"/>
        </w:numPr>
        <w:ind w:left="567" w:hanging="567"/>
      </w:pPr>
      <w:r>
        <w:t>Daarnaast biedt het strafrecht een belangrijke vorm van normstelling tegen ernstige inbreuken op grondrechten van burgers en wederrechtelijke en heimelijke observatie van burgers door middel van AI-toepassingen.</w:t>
      </w:r>
    </w:p>
    <w:p w14:paraId="21091874" w14:textId="77777777" w:rsidR="00815D81" w:rsidRPr="00086763" w:rsidRDefault="00815D81">
      <w:pPr>
        <w:pStyle w:val="Heading1"/>
        <w:numPr>
          <w:ilvl w:val="0"/>
          <w:numId w:val="0"/>
        </w:numPr>
        <w:ind w:left="567"/>
      </w:pPr>
    </w:p>
    <w:p w14:paraId="74FBCDEA" w14:textId="315E739C" w:rsidR="00815D81" w:rsidRPr="00086763" w:rsidRDefault="00815D81">
      <w:pPr>
        <w:pStyle w:val="Heading1"/>
        <w:numPr>
          <w:ilvl w:val="0"/>
          <w:numId w:val="2"/>
        </w:numPr>
        <w:ind w:left="567" w:hanging="567"/>
      </w:pPr>
      <w:r>
        <w:t>Het CvdR is het met de Commissie eens dat AI-toepassingen reeds door een breed en hoogwaardig kader aan EU-wetgeving en ethische principes worden gereguleerd. Belangrijke voorbeelden zijn de wetgeving op het gebied van productveiligheid en aansprakelijkheid, consumentenrechten, de fundamentele rechten, anti-discriminatiewetgeving en het recht op persoonsgegevensbescherming.</w:t>
      </w:r>
    </w:p>
    <w:p w14:paraId="67717C3B" w14:textId="77777777" w:rsidR="00815D81" w:rsidRPr="00086763" w:rsidRDefault="00815D81">
      <w:pPr>
        <w:pStyle w:val="Heading1"/>
        <w:numPr>
          <w:ilvl w:val="0"/>
          <w:numId w:val="0"/>
        </w:numPr>
        <w:ind w:left="567"/>
      </w:pPr>
    </w:p>
    <w:p w14:paraId="07B7DE3F" w14:textId="238769AB" w:rsidR="00CF55A6" w:rsidRPr="00086763" w:rsidRDefault="00EC1BC5">
      <w:pPr>
        <w:pStyle w:val="Heading1"/>
        <w:numPr>
          <w:ilvl w:val="0"/>
          <w:numId w:val="2"/>
        </w:numPr>
        <w:ind w:left="567" w:hanging="567"/>
      </w:pPr>
      <w:r>
        <w:t>Tegelijkertijd moeten we erkennen dat het bestaande wetgevend kader niet specifiek is toegesneden op AI-toepassingen, waardoor er momenteel een juridisch ‘gat’ is. Er dient zorgvuldig onderzocht te worden op welke terreinen aanvullende regelgeving nodig is om het vertrouwen van burgers in AI te versterken. Cruciaal voor elk toekomstig AI-regelgevingskader is de invoering van waarborgen om te garanderen dat AI vrij blijft van vooroordelen en geen discriminatie op grond van geslacht, etniciteit, leeftijd, handicap of seksuele geaardheid reproduceert.</w:t>
      </w:r>
    </w:p>
    <w:p w14:paraId="33D5BF33" w14:textId="77777777" w:rsidR="000A0E4A" w:rsidRPr="00086763" w:rsidRDefault="000A0E4A"/>
    <w:p w14:paraId="2A14D6BA" w14:textId="77777777" w:rsidR="006B1115" w:rsidRPr="00086763" w:rsidRDefault="006B1115">
      <w:pPr>
        <w:pStyle w:val="Heading1"/>
        <w:numPr>
          <w:ilvl w:val="0"/>
          <w:numId w:val="2"/>
        </w:numPr>
        <w:ind w:left="567" w:hanging="567"/>
        <w:rPr>
          <w:bCs/>
          <w:iCs/>
          <w:szCs w:val="22"/>
        </w:rPr>
      </w:pPr>
      <w:r>
        <w:t>Het CvdR wijst er ook op dat geen van de officiële EU-talen door de toepassing van AI gediscrimineerd en verzwakt mag worden, maar dat er datasets in alle EU-talen beschikbaar dienen te zijn.</w:t>
      </w:r>
    </w:p>
    <w:p w14:paraId="7C7E772E" w14:textId="77777777" w:rsidR="006B1115" w:rsidRPr="00086763" w:rsidRDefault="006B1115" w:rsidP="0035109F"/>
    <w:p w14:paraId="1AAF2935" w14:textId="1CED8C28" w:rsidR="006B1115" w:rsidRPr="00086763" w:rsidRDefault="006B1115">
      <w:pPr>
        <w:pStyle w:val="Heading1"/>
        <w:numPr>
          <w:ilvl w:val="0"/>
          <w:numId w:val="2"/>
        </w:numPr>
        <w:ind w:left="567" w:hanging="567"/>
        <w:rPr>
          <w:bCs/>
          <w:iCs/>
          <w:szCs w:val="22"/>
        </w:rPr>
      </w:pPr>
      <w:r>
        <w:t>Het CvdR benadrukt verder het belang van genderbewust coderen en dringt erop aan dat alle geslachten op voet van gelijkheid kunnen deelnemen aan het ontwerp, de uitvoering en de evaluatie van AI-gerelateerde technologieën en aan het debat over ethiek en normen voor die technologieën. Het vergroten van de participatie van meisjes en vrouwen op het gebied van wetenschap, technologie, engineering, kunst en wiskunde (STEAM) is essentieel om hen volledig te betrekken bij AI-processen in het bijzonder en bij de digitale economie in het algemeen.</w:t>
      </w:r>
    </w:p>
    <w:p w14:paraId="4CCC95B8" w14:textId="77777777" w:rsidR="006B1115" w:rsidRPr="00086763" w:rsidRDefault="006B1115" w:rsidP="0035109F"/>
    <w:p w14:paraId="5F9887E9" w14:textId="43422777" w:rsidR="000A0E4A" w:rsidRPr="00086763" w:rsidRDefault="00EC1BC5">
      <w:pPr>
        <w:pStyle w:val="Heading1"/>
        <w:numPr>
          <w:ilvl w:val="0"/>
          <w:numId w:val="2"/>
        </w:numPr>
        <w:ind w:left="567" w:hanging="567"/>
      </w:pPr>
      <w:r>
        <w:t>Dit regelgevingskader dient voldoende bovenstaande kernelementen te waarborgen en tegelijkertijd ruimte en flexibiliteit te bieden voor innovatie. We moeten ons daarbij bewust zijn van de uitdagingen op het gebied van de uitleg en werking van AI-systemen en de uitkomsten en sociale effecten die met dergelijke systemen worden gegenereerd.</w:t>
      </w:r>
    </w:p>
    <w:p w14:paraId="79A2EE33" w14:textId="77777777" w:rsidR="00E428E4" w:rsidRPr="00086763" w:rsidRDefault="00E428E4"/>
    <w:p w14:paraId="7A9924B1" w14:textId="5BF0E382" w:rsidR="00016662" w:rsidRPr="00086763" w:rsidRDefault="00EC1BC5">
      <w:pPr>
        <w:pStyle w:val="Heading1"/>
        <w:numPr>
          <w:ilvl w:val="0"/>
          <w:numId w:val="2"/>
        </w:numPr>
        <w:ind w:left="567" w:hanging="567"/>
      </w:pPr>
      <w:r>
        <w:t xml:space="preserve">AI is een technologie die niet op zichzelf staat maar in verbinding moet worden gebracht met andere technologieën en wetenschap, zoals gedragswetenschap, </w:t>
      </w:r>
      <w:r>
        <w:rPr>
          <w:i/>
        </w:rPr>
        <w:t>quantum computing</w:t>
      </w:r>
      <w:r>
        <w:t xml:space="preserve">, </w:t>
      </w:r>
      <w:r>
        <w:rPr>
          <w:i/>
        </w:rPr>
        <w:t>Internet of Things</w:t>
      </w:r>
      <w:r>
        <w:t>, de uitrol van 5G- en 6G-netwerken, verdienmodellen en digitale platforms.</w:t>
      </w:r>
    </w:p>
    <w:p w14:paraId="60219867" w14:textId="77777777" w:rsidR="00202DF6" w:rsidRPr="00086763" w:rsidRDefault="00202DF6"/>
    <w:p w14:paraId="03E09C3C" w14:textId="2B052D3B" w:rsidR="00016662" w:rsidRPr="00086763" w:rsidRDefault="00EC1BC5">
      <w:pPr>
        <w:pStyle w:val="Heading1"/>
        <w:numPr>
          <w:ilvl w:val="0"/>
          <w:numId w:val="2"/>
        </w:numPr>
        <w:ind w:left="567" w:hanging="567"/>
      </w:pPr>
      <w:r>
        <w:t>We dienen daarbij in ogenschouw te nemen dat AI een ontwikkelende technologie is die nog niet is uitontwikkeld en volledig is ingebed in de samenleving.</w:t>
      </w:r>
    </w:p>
    <w:p w14:paraId="4A3D7F4C" w14:textId="77777777" w:rsidR="00016662" w:rsidRPr="00086763" w:rsidRDefault="00016662">
      <w:pPr>
        <w:pStyle w:val="Heading1"/>
        <w:numPr>
          <w:ilvl w:val="0"/>
          <w:numId w:val="0"/>
        </w:numPr>
      </w:pPr>
    </w:p>
    <w:p w14:paraId="34495223" w14:textId="00A50781" w:rsidR="00016662" w:rsidRPr="00086763" w:rsidRDefault="00EC1BC5">
      <w:pPr>
        <w:pStyle w:val="Heading1"/>
        <w:numPr>
          <w:ilvl w:val="0"/>
          <w:numId w:val="2"/>
        </w:numPr>
        <w:ind w:left="567" w:hanging="567"/>
      </w:pPr>
      <w:r>
        <w:t>Politici, beleidsmakers en de samenleving staan daarbij voor een fundamentele uitdaging: hoe zorgen we ervoor dat de verhouding tussen gewenste en ongewenste uitkomsten en effecten naar de goede kant doorslaat? En ook, hoe zorgen we ervoor dat er voldoende ruimte blijft bestaan voor het benutten van de kansen van AI en het versterken van het vertrouwen van mensen in AI? Het steeds grootschaligere gebruik van AI-toepassingen, met name voorspellende algoritmen, door veel publieke instanties en overheidsdiensten (rechtspraak, politie, leger enz.) noopt dringend tot een regelgevingskader dat voorziet in strenge beoordelingen van de noodzaak en proportionaliteit van AI alsmede in passende waarborgen, rechtsmiddelen en publiek toezicht, en waarin taken en verantwoordelijkheden helder zijn vastgelegd.</w:t>
      </w:r>
    </w:p>
    <w:p w14:paraId="7BE0E626" w14:textId="77777777" w:rsidR="00016662" w:rsidRPr="00086763" w:rsidRDefault="00016662">
      <w:pPr>
        <w:pStyle w:val="Heading1"/>
        <w:numPr>
          <w:ilvl w:val="0"/>
          <w:numId w:val="0"/>
        </w:numPr>
        <w:ind w:left="567"/>
      </w:pPr>
    </w:p>
    <w:p w14:paraId="7DEA2D0C" w14:textId="480BFDE2" w:rsidR="00016662" w:rsidRPr="00086763" w:rsidRDefault="00EC1BC5">
      <w:pPr>
        <w:pStyle w:val="Heading1"/>
        <w:numPr>
          <w:ilvl w:val="0"/>
          <w:numId w:val="2"/>
        </w:numPr>
        <w:ind w:left="567" w:hanging="567"/>
      </w:pPr>
      <w:r>
        <w:t xml:space="preserve">Regionale en lokale overheden dienen een belangrijke rol te hebben bij de vormgeving van wetgeving en beleid over AI. Zij staan dichter bij burgers en beschikken dientengevolge over nuttigere gegevens dan nationale regeringen. Daarom moeten regionale en lokale overheden </w:t>
      </w:r>
      <w:r>
        <w:lastRenderedPageBreak/>
        <w:t>meer betrokken worden bij de ontwikkeling van beleid en wetgeving die uit het Witboek zal voortvloeien.</w:t>
      </w:r>
    </w:p>
    <w:p w14:paraId="1BCF1F45" w14:textId="77777777" w:rsidR="00016662" w:rsidRPr="00086763" w:rsidRDefault="00016662"/>
    <w:p w14:paraId="73EF61EB" w14:textId="166C8769" w:rsidR="00951CD9" w:rsidRPr="00086763" w:rsidRDefault="00016662">
      <w:pPr>
        <w:pStyle w:val="Heading1"/>
        <w:numPr>
          <w:ilvl w:val="0"/>
          <w:numId w:val="2"/>
        </w:numPr>
        <w:ind w:left="567" w:hanging="567"/>
      </w:pPr>
      <w:r>
        <w:t>Het CvdR onderschrijft de opvatting van de Commissie dat, gezien de snelheid waarmee AI zich ontwikkelt, het regelgevingskader ruimte moet laten voor verdere ontwikkelingen. Dit vraagt volgens het CvdR om adaptieve wetgeving en een adaptief wetgevingsproces. Dit vraagt ook om een kritische houding van de Commissie tegenover het functioneren van het eigen systeem en om sociale innovatie van dit systeem.</w:t>
      </w:r>
    </w:p>
    <w:p w14:paraId="418C7BFE" w14:textId="77777777" w:rsidR="00016662" w:rsidRPr="00086763" w:rsidRDefault="00016662">
      <w:pPr>
        <w:pStyle w:val="Heading1"/>
        <w:numPr>
          <w:ilvl w:val="0"/>
          <w:numId w:val="0"/>
        </w:numPr>
        <w:ind w:left="567"/>
      </w:pPr>
    </w:p>
    <w:p w14:paraId="457D906C" w14:textId="4B825873" w:rsidR="00016662" w:rsidRPr="00086763" w:rsidRDefault="008B0025">
      <w:pPr>
        <w:pStyle w:val="Heading1"/>
        <w:numPr>
          <w:ilvl w:val="0"/>
          <w:numId w:val="2"/>
        </w:numPr>
        <w:ind w:left="567" w:hanging="567"/>
      </w:pPr>
      <w:r>
        <w:t xml:space="preserve">Regionale en lokale overheden dienen in dit verband voldoende ruimte te hebben om te experimenteren (waaronder </w:t>
      </w:r>
      <w:r>
        <w:rPr>
          <w:i/>
        </w:rPr>
        <w:t>policy prototyping</w:t>
      </w:r>
      <w:r>
        <w:t>) en te leren hoe beleid voor deze fundamentele uitdagingen het meest efficiënt en effectief kan worden vormgegeven.</w:t>
      </w:r>
    </w:p>
    <w:p w14:paraId="55BB3441" w14:textId="77777777" w:rsidR="00016662" w:rsidRPr="00086763" w:rsidRDefault="00016662">
      <w:pPr>
        <w:pStyle w:val="Heading1"/>
        <w:numPr>
          <w:ilvl w:val="0"/>
          <w:numId w:val="0"/>
        </w:numPr>
        <w:ind w:left="567"/>
      </w:pPr>
    </w:p>
    <w:p w14:paraId="09D07C5B" w14:textId="6288109D" w:rsidR="00016662" w:rsidRPr="00086763" w:rsidRDefault="00016662">
      <w:pPr>
        <w:pStyle w:val="Heading1"/>
        <w:numPr>
          <w:ilvl w:val="0"/>
          <w:numId w:val="2"/>
        </w:numPr>
        <w:ind w:left="567" w:hanging="567"/>
      </w:pPr>
      <w:r>
        <w:t>Het CvdR dringt er bij de Commissie op aan een procedureel beleidskader te ontwikkelen gericht op de optimale benutting van al bestaande regels, maar ook op het in de tijd verder ontwikkelen van het toekomstig AI-beleid en het EU-regelgevingskader. Dit beleidskader moet tevens de inspanningen op Europees, nationaal en regionaal niveau op elkaar afstemmen en ervoor zorgen dat de particuliere en de openbare sector samenwerken. In dit verband zou de oprichting van een EU-agentschap voor AI bijdragen aan adequaat toezicht en aan de coördinatie van AI-gerelateerde vraagstukken op alle bestuursniveaus, van Europees tot lokaal.</w:t>
      </w:r>
    </w:p>
    <w:p w14:paraId="5F7224A4" w14:textId="77777777" w:rsidR="00B21E59" w:rsidRPr="00086763" w:rsidRDefault="00B21E59"/>
    <w:p w14:paraId="38F47E45" w14:textId="329F77CC" w:rsidR="002126A1" w:rsidRPr="00086763" w:rsidRDefault="00323013">
      <w:pPr>
        <w:pStyle w:val="Heading1"/>
        <w:numPr>
          <w:ilvl w:val="0"/>
          <w:numId w:val="2"/>
        </w:numPr>
        <w:ind w:left="567" w:hanging="567"/>
      </w:pPr>
      <w:r>
        <w:t>Het CvdR onderschrijft de aanpak van de Commissie om voor risicovolle AI aanvullende regelgeving te maken.</w:t>
      </w:r>
    </w:p>
    <w:p w14:paraId="169CFCFA" w14:textId="77777777" w:rsidR="002126A1" w:rsidRPr="00086763" w:rsidRDefault="002126A1"/>
    <w:p w14:paraId="1FA1C97B" w14:textId="2EAF0C89" w:rsidR="00863180" w:rsidRPr="00086763" w:rsidRDefault="002126A1">
      <w:pPr>
        <w:pStyle w:val="Heading1"/>
        <w:numPr>
          <w:ilvl w:val="0"/>
          <w:numId w:val="2"/>
        </w:numPr>
        <w:ind w:left="567" w:hanging="567"/>
      </w:pPr>
      <w:r>
        <w:t>Het CvdR meent echter dat de belangrijkste criteria voor het antwoord op de vraag of AI “risicovol” is, zijn: de mate waarin de mens invloed kan uitoefenen op besluitvorming en de impact van die besluitvorming op de rechten en op het feitelijk handelen van burgers.</w:t>
      </w:r>
    </w:p>
    <w:p w14:paraId="00F7BD36" w14:textId="77777777" w:rsidR="00F071D6" w:rsidRPr="00086763" w:rsidRDefault="00F071D6">
      <w:pPr>
        <w:pStyle w:val="Heading1"/>
        <w:numPr>
          <w:ilvl w:val="0"/>
          <w:numId w:val="0"/>
        </w:numPr>
        <w:ind w:left="567"/>
      </w:pPr>
    </w:p>
    <w:p w14:paraId="3B2281F5" w14:textId="5D8A8CB4" w:rsidR="00613669" w:rsidRPr="00086763" w:rsidRDefault="00E434B7">
      <w:pPr>
        <w:pStyle w:val="Heading1"/>
        <w:numPr>
          <w:ilvl w:val="0"/>
          <w:numId w:val="2"/>
        </w:numPr>
        <w:ind w:left="567" w:hanging="567"/>
      </w:pPr>
      <w:r>
        <w:t>Toekomstige wetgeving en toekomstig beleid dienen in het bijzonder in te gaan op transparantie en uitlegbaarheid van algoritmes en het afleggen van rekenschap</w:t>
      </w:r>
      <w:r w:rsidR="00CF3EBA" w:rsidRPr="00086763">
        <w:rPr>
          <w:sz w:val="24"/>
          <w:szCs w:val="24"/>
          <w:vertAlign w:val="superscript"/>
        </w:rPr>
        <w:footnoteReference w:id="9"/>
      </w:r>
      <w:r>
        <w:t xml:space="preserve"> door degene die AI inzet en zijn of haar billijkheid en verantwoordelijkheid, in het bijzonder indien burgers daarbij in hun rechten of feitelijk handelen worden aangetast of beïnvloed.</w:t>
      </w:r>
    </w:p>
    <w:p w14:paraId="37FE1D50" w14:textId="77777777" w:rsidR="00E45DFA" w:rsidRPr="00086763" w:rsidRDefault="00E45DFA"/>
    <w:p w14:paraId="2AB75C88" w14:textId="1975438A" w:rsidR="00E45DFA" w:rsidRPr="00086763" w:rsidRDefault="00E434B7">
      <w:pPr>
        <w:pStyle w:val="Heading1"/>
        <w:numPr>
          <w:ilvl w:val="0"/>
          <w:numId w:val="2"/>
        </w:numPr>
        <w:ind w:left="567" w:hanging="567"/>
      </w:pPr>
      <w:r>
        <w:t>Burgers hebben het recht om in begrijpelijke taal te weten op basis van welke data en algoritmes ze in hun rechten of feitelijk handelen worden geraakt, zodat zij zich op een eerlijke wijze kunnen verdedigen en, zo nodig, effectieve rechtsbescherming kunnen genieten. Bovendien moet het besluitvormingssysteem de mogelijkheid bieden om een kwestie door een mens te laten behandelen. De rol van de autoriteiten moet waar nodig worden beklemtoond.</w:t>
      </w:r>
    </w:p>
    <w:p w14:paraId="57659869" w14:textId="77777777" w:rsidR="00125658" w:rsidRPr="00086763" w:rsidRDefault="00125658"/>
    <w:p w14:paraId="6F94C72A" w14:textId="63A07988" w:rsidR="006A5842" w:rsidRPr="00086763" w:rsidRDefault="0007078E">
      <w:pPr>
        <w:pStyle w:val="Heading1"/>
        <w:numPr>
          <w:ilvl w:val="0"/>
          <w:numId w:val="2"/>
        </w:numPr>
        <w:ind w:left="567" w:hanging="567"/>
        <w:rPr>
          <w:bCs/>
          <w:iCs/>
          <w:szCs w:val="22"/>
        </w:rPr>
      </w:pPr>
      <w:r>
        <w:t xml:space="preserve">Volgens het CvdR is de toepassing van AI-technologieën ook zeer relevant als het gaat over arbeidsomstandigheden en het welzijn van werknemers. Het sluit zich daarom aan bij het </w:t>
      </w:r>
      <w:r>
        <w:lastRenderedPageBreak/>
        <w:t>pleidooi van de Europese sociale partners</w:t>
      </w:r>
      <w:r w:rsidRPr="00086763">
        <w:rPr>
          <w:rStyle w:val="FootnoteReference"/>
          <w:bCs/>
          <w:iCs/>
          <w:sz w:val="24"/>
          <w:szCs w:val="24"/>
        </w:rPr>
        <w:footnoteReference w:id="10"/>
      </w:r>
      <w:r>
        <w:t xml:space="preserve"> voor gegevensminimalisering, transparantie en duidelijke regels voor de verwerking van persoonsgegevens, om het risico van opdringerig toezicht en misbruik van persoonsgegevens te beperken met het oog op eerbiediging van de menselijke waardigheid. In dit verband onderschrijft het CvdR het belang van de mogelijkheid voor vertegenwoordigers van werknemers om kwesties in verband met data, toestemming, privacybescherming en toezicht aan de orde te stellen. Gegevensverzameling moet aan een concreet en duidelijk doel worden gekoppeld en als AI wordt gebruikt voor HR, moet de transparantie gewaarborgd zijn.</w:t>
      </w:r>
    </w:p>
    <w:p w14:paraId="39A979FD" w14:textId="77777777" w:rsidR="0007078E" w:rsidRPr="00086763" w:rsidRDefault="0007078E" w:rsidP="0035109F"/>
    <w:p w14:paraId="35B9AFC2" w14:textId="5EA62DE7" w:rsidR="003709B3" w:rsidRPr="00086763" w:rsidRDefault="00C11B55">
      <w:pPr>
        <w:pStyle w:val="Heading1"/>
        <w:numPr>
          <w:ilvl w:val="0"/>
          <w:numId w:val="2"/>
        </w:numPr>
        <w:ind w:left="567" w:hanging="567"/>
      </w:pPr>
      <w:r>
        <w:t>Het CvdR onderschrijft de eisen aan trainingsdata die de Commissie overweegt te stellen. Het bijhouden van een register is een middel om de naleving van regels te kunnen controleren. Het CvdR meent wel dat de administratieve lasten die daarmee gepaard gaan zo beperkt als mogelijk moeten blijven.</w:t>
      </w:r>
    </w:p>
    <w:p w14:paraId="2F987EF1" w14:textId="283BD568" w:rsidR="00C11B55" w:rsidRPr="00086763" w:rsidRDefault="00C11B55"/>
    <w:p w14:paraId="084AB8BF" w14:textId="55B6546A" w:rsidR="00815D81" w:rsidRPr="00086763" w:rsidRDefault="00613669">
      <w:pPr>
        <w:pStyle w:val="Heading1"/>
        <w:numPr>
          <w:ilvl w:val="0"/>
          <w:numId w:val="2"/>
        </w:numPr>
        <w:ind w:left="567" w:hanging="567"/>
      </w:pPr>
      <w:r>
        <w:t>Het CvdR onderschrijft het standpunt van de Commissie dat de doelstelling van betrouwbare, ethische en mensgerichte AI alleen kan worden bereikt door te zorgen voor passende menselijke tussenkomst bij risicovolle AI-toepassingen.</w:t>
      </w:r>
    </w:p>
    <w:p w14:paraId="359E3F05" w14:textId="77777777" w:rsidR="00347019" w:rsidRPr="00086763" w:rsidRDefault="00347019"/>
    <w:p w14:paraId="12E46F2C" w14:textId="4E5BF3F5" w:rsidR="000F3769" w:rsidRPr="00086763" w:rsidRDefault="00E434B7">
      <w:pPr>
        <w:pStyle w:val="Heading1"/>
        <w:numPr>
          <w:ilvl w:val="0"/>
          <w:numId w:val="2"/>
        </w:numPr>
        <w:ind w:left="567" w:hanging="567"/>
      </w:pPr>
      <w:r>
        <w:t xml:space="preserve">Toekomstige wetgeving en monitoring op naleving dient van toepassing te zijn op de gehele </w:t>
      </w:r>
      <w:r>
        <w:rPr>
          <w:i/>
        </w:rPr>
        <w:t>life cycle</w:t>
      </w:r>
      <w:r>
        <w:t xml:space="preserve"> van de AI-toepassing.</w:t>
      </w:r>
    </w:p>
    <w:p w14:paraId="421CAFED" w14:textId="77777777" w:rsidR="000F3769" w:rsidRPr="00086763" w:rsidRDefault="000F3769"/>
    <w:p w14:paraId="61960132" w14:textId="0F1894C5" w:rsidR="007E1D96" w:rsidRPr="00086763" w:rsidRDefault="008A109F">
      <w:pPr>
        <w:pStyle w:val="Heading1"/>
        <w:numPr>
          <w:ilvl w:val="0"/>
          <w:numId w:val="2"/>
        </w:numPr>
        <w:ind w:left="567" w:hanging="567"/>
      </w:pPr>
      <w:r>
        <w:t>Het CvdR onderschrijft de opvatting van de Commissie dat menselijk toezicht helpt ervoor te zorgen dat de menselijke autonomie bewaard blijft, maar roept haar op om de ethische risico’s in kaart te brengen, met name in verband met vooroordelen bij het gebruik van AI, en met concrete oplossingen te komen.</w:t>
      </w:r>
    </w:p>
    <w:p w14:paraId="52B8BCCB" w14:textId="77777777" w:rsidR="0088491C" w:rsidRPr="00086763" w:rsidRDefault="0088491C"/>
    <w:p w14:paraId="6032893B" w14:textId="58F1B84F" w:rsidR="00F352C4" w:rsidRPr="00086763" w:rsidRDefault="00F352C4">
      <w:pPr>
        <w:pStyle w:val="Heading1"/>
        <w:numPr>
          <w:ilvl w:val="0"/>
          <w:numId w:val="2"/>
        </w:numPr>
        <w:ind w:left="567" w:hanging="567"/>
        <w:rPr>
          <w:bCs/>
          <w:iCs/>
        </w:rPr>
      </w:pPr>
      <w:r>
        <w:t xml:space="preserve">De gevolgen die het gebruik van AI-technologieën op korte en lange termijn heeft voor het milieu, zowel tijdens de gehele </w:t>
      </w:r>
      <w:r>
        <w:rPr>
          <w:i/>
        </w:rPr>
        <w:t>life cycle</w:t>
      </w:r>
      <w:r>
        <w:t xml:space="preserve"> als in de gehele toeleveringsketen, dienen in de regelgeving op AI-gebied in aanmerking te worden genomen.</w:t>
      </w:r>
    </w:p>
    <w:p w14:paraId="4C388803" w14:textId="77777777" w:rsidR="00F352C4" w:rsidRPr="00A86096" w:rsidRDefault="00F352C4" w:rsidP="00A86096"/>
    <w:p w14:paraId="142FAB97" w14:textId="32D994E9" w:rsidR="0088491C" w:rsidRPr="00086763" w:rsidRDefault="0088491C">
      <w:pPr>
        <w:pStyle w:val="Heading1"/>
        <w:numPr>
          <w:ilvl w:val="0"/>
          <w:numId w:val="2"/>
        </w:numPr>
        <w:ind w:left="567" w:hanging="567"/>
      </w:pPr>
      <w:r>
        <w:t>Het CvdR heeft kennis genomen van het ontwerpverslag van de Commissie Juridische Zaken van het Europese Parlement</w:t>
      </w:r>
      <w:r w:rsidRPr="00086763">
        <w:rPr>
          <w:rFonts w:eastAsia="PMingLiU"/>
          <w:sz w:val="24"/>
          <w:szCs w:val="24"/>
          <w:vertAlign w:val="superscript"/>
        </w:rPr>
        <w:footnoteReference w:id="11"/>
      </w:r>
      <w:r>
        <w:t>. In het bijzonder heeft het CvdR nota genomen van de overweging dat elke lidstaat een nationale toezichthoudende autoriteit moet aanwijzen die verantwoordelijk is voor het waarborgen, beoordelen en monitoren van de conformiteit aan wetgeving en voor het bevorderen van discussies en de uitwisseling van standpunten, in nauwe samenwerking met de betrokken belanghebbenden en het maatschappelijk middenveld.</w:t>
      </w:r>
    </w:p>
    <w:p w14:paraId="03D66C4B" w14:textId="77777777" w:rsidR="00251D9F" w:rsidRPr="00086763" w:rsidRDefault="00251D9F"/>
    <w:p w14:paraId="540521B5" w14:textId="43F39ECA" w:rsidR="00E75888" w:rsidRPr="00086763" w:rsidRDefault="00E75888">
      <w:pPr>
        <w:pStyle w:val="Heading1"/>
        <w:numPr>
          <w:ilvl w:val="0"/>
          <w:numId w:val="2"/>
        </w:numPr>
        <w:ind w:left="567" w:hanging="567"/>
        <w:rPr>
          <w:szCs w:val="22"/>
        </w:rPr>
      </w:pPr>
      <w:r>
        <w:t>Het CvdR onderschrijft de opvatting van de Commissie dat een objectieve, voorafgaande conformiteitsbeoordeling noodzakelijk is om na te gaan en te garanderen dat verplichte eisen die van toepassing zijn op risicovolle toepassingen worden nageleefd.</w:t>
      </w:r>
    </w:p>
    <w:p w14:paraId="63EAF9E3" w14:textId="77777777" w:rsidR="00F03F2D" w:rsidRPr="00086763" w:rsidRDefault="00F03F2D"/>
    <w:p w14:paraId="48817133" w14:textId="607A0E5E" w:rsidR="00F03F2D" w:rsidRPr="00086763" w:rsidRDefault="00B3137A">
      <w:pPr>
        <w:pStyle w:val="Heading1"/>
        <w:numPr>
          <w:ilvl w:val="0"/>
          <w:numId w:val="2"/>
        </w:numPr>
        <w:ind w:left="567" w:hanging="567"/>
      </w:pPr>
      <w:r>
        <w:t>De Commissie merkt terecht op dat de gevolgen van het gebruik van AI-systemen voor biometrische identificatie op afstand aanzienlijk kunnen variëren naargelang het doel, de context en de reikwijdte van het gebruik.</w:t>
      </w:r>
    </w:p>
    <w:p w14:paraId="28E09569" w14:textId="77777777" w:rsidR="00F03F2D" w:rsidRPr="00086763" w:rsidRDefault="00F03F2D">
      <w:pPr>
        <w:pStyle w:val="Heading1"/>
        <w:numPr>
          <w:ilvl w:val="0"/>
          <w:numId w:val="0"/>
        </w:numPr>
        <w:ind w:left="567"/>
      </w:pPr>
    </w:p>
    <w:p w14:paraId="4AD0957E" w14:textId="08317B8E" w:rsidR="00F03F2D" w:rsidRPr="00086763" w:rsidRDefault="00B3137A">
      <w:pPr>
        <w:pStyle w:val="Heading1"/>
        <w:numPr>
          <w:ilvl w:val="0"/>
          <w:numId w:val="2"/>
        </w:numPr>
        <w:ind w:left="567" w:hanging="567"/>
      </w:pPr>
      <w:r>
        <w:t>Er moet een bindend en eenduidig uitlegbaar kwaliteitskader worden ontwikkeld om dergelijke ingrijpende AI-toepassingen in goede banen te leiden. Dit kader dient vooral te zien op normen en methoden waarmee onwettige discriminatie en stigmatisering van individuen en bevolkingsgroepen wordt voorkomen. Het CvdR onderschrijft de aanpak van de Commissie om hierover een breed debat te voeren.</w:t>
      </w:r>
    </w:p>
    <w:p w14:paraId="3F03CD07" w14:textId="77777777" w:rsidR="00E75888" w:rsidRPr="00086763" w:rsidRDefault="00E75888"/>
    <w:p w14:paraId="0FDD5F9C" w14:textId="3CBDDD60" w:rsidR="00251D9F" w:rsidRPr="00086763" w:rsidRDefault="003C0F11">
      <w:pPr>
        <w:pStyle w:val="Heading1"/>
        <w:numPr>
          <w:ilvl w:val="0"/>
          <w:numId w:val="2"/>
        </w:numPr>
        <w:ind w:left="567" w:hanging="567"/>
      </w:pPr>
      <w:r>
        <w:t>Het CvdR meent dat ethiek, naast wetgeving, een belangrijke rol speelt bij het ontwerp van AI (</w:t>
      </w:r>
      <w:r>
        <w:rPr>
          <w:i/>
        </w:rPr>
        <w:t>ethics-by-design</w:t>
      </w:r>
      <w:r>
        <w:t>). We moeten ons ervan bewust zijn dat ethiek niet is gerelateerd aan een specifieke technische tool (zoals AI) maar dat ethiek gaat om de maatschappelijke en normatieve context waarin de technische tool wordt toegepast.</w:t>
      </w:r>
    </w:p>
    <w:p w14:paraId="3AA9A3E3" w14:textId="77777777" w:rsidR="00251D9F" w:rsidRPr="00086763" w:rsidRDefault="00251D9F"/>
    <w:p w14:paraId="1901087E" w14:textId="5E06220D" w:rsidR="00815D81" w:rsidRPr="00086763" w:rsidRDefault="00B3137A">
      <w:pPr>
        <w:pStyle w:val="Heading1"/>
        <w:numPr>
          <w:ilvl w:val="0"/>
          <w:numId w:val="2"/>
        </w:numPr>
        <w:ind w:left="567" w:hanging="567"/>
      </w:pPr>
      <w:r>
        <w:t>Het toekomstig beleid voor het ecosysteem van vertrouwen heeft baat bij een bredere aanpak dan louter het maken van wetgeving voor risicovolle AI. Voor toekomstig beleid is een continue, systematische socio-technische benadering nodig, waarbij de technologie vanuit alle perspectieven en door verschillende lenzen wordt bekeken. Voor de beleidsvorming en regelgeving vraagt dit om een multidisciplinaire aanpak, waarbij beleidsmakers, academici uit verschillende vakgebieden, sociale partners, bedrijfsleven en lokale en regionale overheden voortdurend samenwerken en de ontwikkelingen monitoren en de resultaten steeds op even transparante wijze verspreiden.</w:t>
      </w:r>
    </w:p>
    <w:p w14:paraId="57AF991F" w14:textId="77777777" w:rsidR="00815D81" w:rsidRPr="00086763" w:rsidRDefault="00815D81">
      <w:pPr>
        <w:pStyle w:val="Heading1"/>
        <w:numPr>
          <w:ilvl w:val="0"/>
          <w:numId w:val="0"/>
        </w:numPr>
        <w:ind w:left="567"/>
      </w:pPr>
    </w:p>
    <w:p w14:paraId="069221D1" w14:textId="77777777" w:rsidR="00815D81" w:rsidRPr="00086763" w:rsidRDefault="00815D81">
      <w:pPr>
        <w:pStyle w:val="Heading1"/>
        <w:keepNext/>
        <w:numPr>
          <w:ilvl w:val="0"/>
          <w:numId w:val="0"/>
        </w:numPr>
        <w:rPr>
          <w:bCs/>
        </w:rPr>
      </w:pPr>
      <w:r>
        <w:t>Kennisontwikkeling</w:t>
      </w:r>
    </w:p>
    <w:p w14:paraId="25C37B0E" w14:textId="77777777" w:rsidR="00815D81" w:rsidRPr="00086763" w:rsidRDefault="00815D81">
      <w:pPr>
        <w:pStyle w:val="Heading1"/>
        <w:keepNext/>
        <w:numPr>
          <w:ilvl w:val="0"/>
          <w:numId w:val="0"/>
        </w:numPr>
        <w:ind w:left="567"/>
      </w:pPr>
    </w:p>
    <w:p w14:paraId="575481EE" w14:textId="54D1B123" w:rsidR="006B31D5" w:rsidRPr="00086763" w:rsidRDefault="0065702F">
      <w:pPr>
        <w:pStyle w:val="Heading1"/>
        <w:numPr>
          <w:ilvl w:val="0"/>
          <w:numId w:val="2"/>
        </w:numPr>
        <w:ind w:left="567" w:hanging="567"/>
      </w:pPr>
      <w:r>
        <w:t>Om de overgang naar een samenleving waarin AI een belangrijke rol speelt te bevorderen, is het noodzakelijk dat de komende voorstellen voor een bijgewerkte vaardighedenagenda en een actieplan voor digitaal onderwijs zich ten aanzien van AI uitstrekken tot de volledige leerlijn van primair onderwijs, voortgezet onderwijs, middelbaar beroepsonderwijs, hoger beroepsonderwijs en wetenschappelijk onderwijs en een leven lang leren. Programma’s voor digitaal onderwijs moeten actief burgerschap en kritisch denken bevorderen en mensen al vroegtijdig in staat stellen om met de groeiende interactie met AI om te gaan.</w:t>
      </w:r>
    </w:p>
    <w:p w14:paraId="272BE670" w14:textId="77777777" w:rsidR="006B31D5" w:rsidRPr="00086763" w:rsidRDefault="006B31D5">
      <w:pPr>
        <w:pStyle w:val="Heading1"/>
        <w:numPr>
          <w:ilvl w:val="0"/>
          <w:numId w:val="0"/>
        </w:numPr>
        <w:ind w:left="567"/>
      </w:pPr>
    </w:p>
    <w:p w14:paraId="5A342AAE" w14:textId="558AAEC8" w:rsidR="006B31D5" w:rsidRPr="00086763" w:rsidRDefault="0065702F">
      <w:pPr>
        <w:pStyle w:val="Heading1"/>
        <w:numPr>
          <w:ilvl w:val="0"/>
          <w:numId w:val="2"/>
        </w:numPr>
        <w:ind w:left="567" w:hanging="567"/>
      </w:pPr>
      <w:r>
        <w:t>Educatieve en opleidingsmaatregelen dienen zich tevens te richten op het versterken van de digitale vaardigheden van burgers en vaklieden, zowel in het onderwijssysteem als waar het gaat om bijscholing. Met de digitale revolutie zal het aantal mensen dat in digitaal relevante beroepen werkzaam is naar verwachting flink toenemen. Tegelijkertijd is een leven lang leren op het gebied van AI-technologie niet alleen essentieel voor technische beroepen die worden uitgeoefend na studies in STE(A)M-vakken, maar voor alle werknemers (ook overheidsmedewerkers) die over kennis op het gebied van AI zullen moeten beschikken in tal van andere sectoren. Daarom moet de opleiding niet alleen gefocust worden op de huidige arbeidsmarktbehoeften in verband met AI, maar op de technologische vaardigheden van alle werknemers, wat aanpassing mogelijk maakt aan een langetermijnvisie op de opleidingsbehoeften op het gebied van AI.</w:t>
      </w:r>
    </w:p>
    <w:p w14:paraId="08B6BD2B" w14:textId="77777777" w:rsidR="006B31D5" w:rsidRPr="00086763" w:rsidRDefault="006B31D5">
      <w:pPr>
        <w:pStyle w:val="Heading1"/>
        <w:numPr>
          <w:ilvl w:val="0"/>
          <w:numId w:val="0"/>
        </w:numPr>
        <w:ind w:left="567"/>
      </w:pPr>
    </w:p>
    <w:p w14:paraId="6583C1E2" w14:textId="5A0EB42E" w:rsidR="00815D81" w:rsidRPr="00086763" w:rsidRDefault="0065702F">
      <w:pPr>
        <w:pStyle w:val="Heading1"/>
        <w:numPr>
          <w:ilvl w:val="0"/>
          <w:numId w:val="2"/>
        </w:numPr>
        <w:ind w:left="567" w:hanging="567"/>
      </w:pPr>
      <w:r>
        <w:t>Goede democratische besluitvorming is gebaat bij scholing van politici en beleidmakers op het terrein van AI. Cruciaal is dat die scholing niet alleen gaat over het gebruik van AI, maar ook over ethische bepalingen en normen. De door het CvdR geadviseerde scholing betreft een update op een relatief hoog-over niveau en heeft twee doelen: (1) om als gelijke gesprekspartner met de markt te kunnen communiceren en (2) om regie te kunnen voeren over de impact van AI op de samenleving en het democratische proces.</w:t>
      </w:r>
    </w:p>
    <w:p w14:paraId="0AB1DBD6" w14:textId="77777777" w:rsidR="00246D6B" w:rsidRPr="00086763" w:rsidRDefault="00246D6B"/>
    <w:p w14:paraId="3BC7B90A" w14:textId="01233489" w:rsidR="00612628" w:rsidRPr="00086763" w:rsidRDefault="0065702F">
      <w:pPr>
        <w:pStyle w:val="Heading1"/>
        <w:numPr>
          <w:ilvl w:val="0"/>
          <w:numId w:val="2"/>
        </w:numPr>
        <w:ind w:left="567" w:hanging="567"/>
        <w:rPr>
          <w:bCs/>
          <w:iCs/>
          <w:szCs w:val="22"/>
        </w:rPr>
      </w:pPr>
      <w:r>
        <w:t>Om ervoor te zorgen dat AI onze fundamentele waarden en rechten weerspiegelt en dat genderbevooroordeeld programmeren wordt vermeden, is het essentieel om de technologiesector te diversifiëren en studenten, met name meisjes, aan te moedigen zich in te schrijven voor STE(A)M-cursussen.</w:t>
      </w:r>
    </w:p>
    <w:p w14:paraId="78127EF5" w14:textId="77777777" w:rsidR="00612628" w:rsidRPr="00086763" w:rsidRDefault="00612628" w:rsidP="0035109F"/>
    <w:p w14:paraId="789D8465" w14:textId="77777777" w:rsidR="00612628" w:rsidRPr="00086763" w:rsidRDefault="00612628" w:rsidP="0035109F">
      <w:pPr>
        <w:keepNext/>
        <w:tabs>
          <w:tab w:val="left" w:pos="-2268"/>
        </w:tabs>
        <w:rPr>
          <w:bCs/>
        </w:rPr>
      </w:pPr>
      <w:r>
        <w:t>Multilevel governance en publiek-private samenwerking</w:t>
      </w:r>
    </w:p>
    <w:p w14:paraId="4DED1F96" w14:textId="77777777" w:rsidR="00612628" w:rsidRPr="00086763" w:rsidRDefault="00612628" w:rsidP="0035109F">
      <w:pPr>
        <w:keepNext/>
      </w:pPr>
    </w:p>
    <w:p w14:paraId="1CE191F0" w14:textId="15230C58" w:rsidR="00815D81" w:rsidRPr="00086763" w:rsidRDefault="00815D81">
      <w:pPr>
        <w:pStyle w:val="Heading1"/>
        <w:numPr>
          <w:ilvl w:val="0"/>
          <w:numId w:val="2"/>
        </w:numPr>
        <w:ind w:left="567" w:hanging="567"/>
      </w:pPr>
      <w:r>
        <w:t>Het CvdR onderschrijft de behoefte aan een gemeenschappelijke Europese benadering voor AI om voldoende schaalgrootte te bereiken en versnippering van de interne markt te voorkomen.</w:t>
      </w:r>
    </w:p>
    <w:p w14:paraId="14A872DD" w14:textId="77777777" w:rsidR="00815D81" w:rsidRPr="00086763" w:rsidRDefault="00815D81">
      <w:pPr>
        <w:pStyle w:val="Heading1"/>
        <w:numPr>
          <w:ilvl w:val="0"/>
          <w:numId w:val="0"/>
        </w:numPr>
        <w:ind w:left="567"/>
      </w:pPr>
    </w:p>
    <w:p w14:paraId="1D4B577D" w14:textId="6C6820B9" w:rsidR="00F12B08" w:rsidRPr="00086763" w:rsidRDefault="00815D81">
      <w:pPr>
        <w:pStyle w:val="Heading1"/>
        <w:numPr>
          <w:ilvl w:val="0"/>
          <w:numId w:val="2"/>
        </w:numPr>
        <w:ind w:left="567" w:hanging="567"/>
        <w:rPr>
          <w:i/>
          <w:iCs/>
        </w:rPr>
      </w:pPr>
      <w:r>
        <w:t xml:space="preserve">Het CvdR stelt daarbij wel voorop dat een Europese benadering voor governance gestoeld moet zijn op een open, inclusieve en </w:t>
      </w:r>
      <w:r w:rsidR="009C3CAC">
        <w:t>“</w:t>
      </w:r>
      <w:r>
        <w:t>gedecentraliseerde</w:t>
      </w:r>
      <w:r w:rsidR="009C3CAC">
        <w:t>”</w:t>
      </w:r>
      <w:bookmarkStart w:id="1" w:name="_GoBack"/>
      <w:bookmarkEnd w:id="1"/>
      <w:r>
        <w:t xml:space="preserve"> samenleving, waarin iedereen de mogelijkheid heeft om betrokken, creatief en ondernemend te zijn.</w:t>
      </w:r>
    </w:p>
    <w:p w14:paraId="6E6809A9" w14:textId="77777777" w:rsidR="00815D81" w:rsidRPr="00086763" w:rsidRDefault="00815D81">
      <w:pPr>
        <w:pStyle w:val="Heading1"/>
        <w:numPr>
          <w:ilvl w:val="0"/>
          <w:numId w:val="0"/>
        </w:numPr>
        <w:ind w:left="567"/>
      </w:pPr>
    </w:p>
    <w:p w14:paraId="28477B87" w14:textId="7FA50C1B" w:rsidR="00815D81" w:rsidRPr="00086763" w:rsidRDefault="0065702F">
      <w:pPr>
        <w:pStyle w:val="Heading1"/>
        <w:numPr>
          <w:ilvl w:val="0"/>
          <w:numId w:val="2"/>
        </w:numPr>
        <w:ind w:left="567" w:hanging="567"/>
      </w:pPr>
      <w:r>
        <w:t xml:space="preserve">De belangrijkste vraag daarbij is hoe politiek, burgers en MKB op een doeltreffende manier bij de ontwikkeling van AI-toepassingen, -ethiek en -regelgeving kunnen worden betrokken en welke rol het inzichtelijk maken van de beoogde opbrengsten uit de ecosystemen kan spelen bij het (her)ijken van beleid en regelgeving. </w:t>
      </w:r>
    </w:p>
    <w:p w14:paraId="595AA982" w14:textId="77777777" w:rsidR="00815D81" w:rsidRPr="00086763" w:rsidRDefault="00815D81">
      <w:pPr>
        <w:pStyle w:val="Heading1"/>
        <w:numPr>
          <w:ilvl w:val="0"/>
          <w:numId w:val="0"/>
        </w:numPr>
        <w:ind w:left="567"/>
      </w:pPr>
    </w:p>
    <w:p w14:paraId="0625B44D" w14:textId="2A7C2AB1" w:rsidR="00815D81" w:rsidRPr="00086763" w:rsidRDefault="0065702F">
      <w:pPr>
        <w:pStyle w:val="Heading1"/>
        <w:numPr>
          <w:ilvl w:val="0"/>
          <w:numId w:val="2"/>
        </w:numPr>
        <w:ind w:left="567" w:hanging="567"/>
      </w:pPr>
      <w:r>
        <w:t>Decentrale netwerken van burgers en lokale economieën spelen een belangrijke rol in het betrekken van politiek, burgers en bedrijven bij de ontwikkeling van AI-toepassingen, -ethiek en -regelgeving. De kracht van decentrale gemeenschappen en netwerken ligt immers in open, onderling verbonden en aanpak-gerichte lokale en regionale samenwerking die innovatie en ontwikkeling van nieuwe economieën stimuleren.</w:t>
      </w:r>
    </w:p>
    <w:p w14:paraId="6F8299CE" w14:textId="77777777" w:rsidR="00815D81" w:rsidRPr="00086763" w:rsidRDefault="00815D81">
      <w:pPr>
        <w:pStyle w:val="Heading1"/>
        <w:numPr>
          <w:ilvl w:val="0"/>
          <w:numId w:val="0"/>
        </w:numPr>
        <w:ind w:left="567"/>
      </w:pPr>
    </w:p>
    <w:p w14:paraId="005357A5" w14:textId="57D3A5E8" w:rsidR="00815D81" w:rsidRPr="00086763" w:rsidRDefault="00815D81" w:rsidP="00D748C9">
      <w:pPr>
        <w:pStyle w:val="Heading1"/>
        <w:keepNext/>
        <w:numPr>
          <w:ilvl w:val="0"/>
          <w:numId w:val="2"/>
        </w:numPr>
        <w:ind w:left="567" w:hanging="567"/>
      </w:pPr>
      <w:r>
        <w:lastRenderedPageBreak/>
        <w:t>meent dat het toekomstige Europese beleidskader inspanningen op Europees, nationaal en regionaal niveau moet coördineren, kennisdeling moet bevorderen en moet waarborgen dat de particuliere en de openbare sector samenwerken. Dit vraagt om een multilevel governance waarbij netwerken van lokaal, regionaal, nationaal en Europese niveau met elkaar worden verbonden.</w:t>
      </w:r>
    </w:p>
    <w:p w14:paraId="18560652" w14:textId="77777777" w:rsidR="006E4667" w:rsidRPr="00086763" w:rsidRDefault="006E4667" w:rsidP="00D748C9">
      <w:pPr>
        <w:keepNext/>
      </w:pPr>
    </w:p>
    <w:p w14:paraId="373D462B" w14:textId="7733F202" w:rsidR="006E4667" w:rsidRPr="00086763" w:rsidRDefault="006E4667" w:rsidP="00D748C9">
      <w:pPr>
        <w:keepNext/>
      </w:pPr>
      <w:r>
        <w:t>Brussel, 14 oktober 2020.</w:t>
      </w:r>
    </w:p>
    <w:p w14:paraId="6DFAF0C4" w14:textId="77777777" w:rsidR="001275B5" w:rsidRPr="00A86096" w:rsidRDefault="001275B5" w:rsidP="00D748C9">
      <w:pPr>
        <w:keepNext/>
        <w:textAlignment w:val="auto"/>
      </w:pPr>
    </w:p>
    <w:tbl>
      <w:tblPr>
        <w:tblW w:w="0" w:type="auto"/>
        <w:tblLayout w:type="fixed"/>
        <w:tblLook w:val="0000" w:firstRow="0" w:lastRow="0" w:firstColumn="0" w:lastColumn="0" w:noHBand="0" w:noVBand="0"/>
      </w:tblPr>
      <w:tblGrid>
        <w:gridCol w:w="4644"/>
        <w:gridCol w:w="4645"/>
      </w:tblGrid>
      <w:tr w:rsidR="004A67E7" w:rsidRPr="00086763" w14:paraId="5BA5327E" w14:textId="77777777" w:rsidTr="00666E07">
        <w:tc>
          <w:tcPr>
            <w:tcW w:w="4644" w:type="dxa"/>
          </w:tcPr>
          <w:p w14:paraId="60C57879" w14:textId="44600DE4" w:rsidR="004A67E7" w:rsidRPr="00086763" w:rsidRDefault="004A67E7" w:rsidP="00D748C9">
            <w:pPr>
              <w:keepNext/>
              <w:jc w:val="center"/>
            </w:pPr>
            <w:r>
              <w:t>De voorzitter</w:t>
            </w:r>
            <w:r>
              <w:br/>
              <w:t>van het Europees Comité van de Regio’s</w:t>
            </w:r>
            <w:r>
              <w:br/>
            </w:r>
            <w:r>
              <w:br/>
            </w:r>
            <w:r>
              <w:br/>
            </w:r>
            <w:r>
              <w:br/>
            </w:r>
            <w:r>
              <w:br/>
              <w:t>Apostolos Tzitzikostas</w:t>
            </w:r>
          </w:p>
        </w:tc>
        <w:tc>
          <w:tcPr>
            <w:tcW w:w="4645" w:type="dxa"/>
          </w:tcPr>
          <w:p w14:paraId="12AB95F9" w14:textId="77777777" w:rsidR="004A67E7" w:rsidRPr="00086763" w:rsidRDefault="004A67E7" w:rsidP="00D748C9">
            <w:pPr>
              <w:keepNext/>
              <w:jc w:val="center"/>
            </w:pPr>
          </w:p>
        </w:tc>
      </w:tr>
      <w:tr w:rsidR="004A67E7" w:rsidRPr="00086763" w14:paraId="1F33611F" w14:textId="77777777" w:rsidTr="00666E07">
        <w:tc>
          <w:tcPr>
            <w:tcW w:w="4644" w:type="dxa"/>
          </w:tcPr>
          <w:p w14:paraId="6B8EFF16" w14:textId="77777777" w:rsidR="004A67E7" w:rsidRPr="00086763" w:rsidRDefault="004A67E7" w:rsidP="00666E07">
            <w:pPr>
              <w:jc w:val="center"/>
            </w:pPr>
          </w:p>
        </w:tc>
        <w:tc>
          <w:tcPr>
            <w:tcW w:w="4645" w:type="dxa"/>
          </w:tcPr>
          <w:p w14:paraId="67DCDDBC" w14:textId="410FC3B7" w:rsidR="004A67E7" w:rsidRPr="00086763" w:rsidRDefault="004A67E7" w:rsidP="00666E07">
            <w:pPr>
              <w:jc w:val="center"/>
            </w:pPr>
            <w:r>
              <w:t>De secretaris-generaal</w:t>
            </w:r>
            <w:r>
              <w:br/>
              <w:t>van het Europees Comité van de Regio’s</w:t>
            </w:r>
            <w:r>
              <w:br/>
            </w:r>
            <w:r>
              <w:br/>
            </w:r>
            <w:r>
              <w:br/>
            </w:r>
            <w:r>
              <w:br/>
            </w:r>
            <w:r>
              <w:br/>
              <w:t>Petr Blížkovský</w:t>
            </w:r>
          </w:p>
        </w:tc>
      </w:tr>
    </w:tbl>
    <w:p w14:paraId="44B9A151" w14:textId="052023AB" w:rsidR="00650603" w:rsidRPr="00086763" w:rsidRDefault="00650603" w:rsidP="0035109F">
      <w:pPr>
        <w:ind w:left="567" w:hanging="567"/>
        <w:rPr>
          <w:rFonts w:eastAsia="PMingLiU"/>
        </w:rPr>
      </w:pPr>
    </w:p>
    <w:p w14:paraId="206E673C" w14:textId="77777777" w:rsidR="006B31D5" w:rsidRPr="00086763" w:rsidRDefault="006B31D5" w:rsidP="0035109F">
      <w:r>
        <w:br w:type="page"/>
      </w:r>
    </w:p>
    <w:p w14:paraId="467B3539" w14:textId="77777777" w:rsidR="00650603" w:rsidRPr="00086763" w:rsidRDefault="000F38E7">
      <w:pPr>
        <w:keepLines/>
        <w:numPr>
          <w:ilvl w:val="0"/>
          <w:numId w:val="3"/>
        </w:numPr>
        <w:ind w:left="567" w:hanging="567"/>
        <w:rPr>
          <w:b/>
          <w:bCs/>
        </w:rPr>
      </w:pPr>
      <w:r>
        <w:rPr>
          <w:b/>
          <w:bCs/>
        </w:rPr>
        <w:lastRenderedPageBreak/>
        <w:t>PROCEDURE</w:t>
      </w:r>
    </w:p>
    <w:p w14:paraId="7FB5B008" w14:textId="77777777" w:rsidR="00656324" w:rsidRPr="00086763" w:rsidRDefault="00656324">
      <w:pPr>
        <w:keepLines/>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1"/>
        <w:gridCol w:w="5198"/>
      </w:tblGrid>
      <w:tr w:rsidR="0013737E" w:rsidRPr="00086763" w14:paraId="0D41454F" w14:textId="77777777" w:rsidTr="006A5842">
        <w:tc>
          <w:tcPr>
            <w:tcW w:w="4091" w:type="dxa"/>
            <w:tcBorders>
              <w:top w:val="single" w:sz="4" w:space="0" w:color="auto"/>
              <w:left w:val="single" w:sz="4" w:space="0" w:color="auto"/>
              <w:bottom w:val="single" w:sz="4" w:space="0" w:color="auto"/>
              <w:right w:val="single" w:sz="4" w:space="0" w:color="auto"/>
            </w:tcBorders>
          </w:tcPr>
          <w:p w14:paraId="782F2B6C" w14:textId="77777777" w:rsidR="00656324" w:rsidRPr="00086763" w:rsidRDefault="00656324">
            <w:pPr>
              <w:rPr>
                <w:b/>
                <w:bCs/>
              </w:rPr>
            </w:pPr>
            <w:r>
              <w:rPr>
                <w:b/>
                <w:bCs/>
              </w:rPr>
              <w:t>Titel</w:t>
            </w:r>
          </w:p>
          <w:p w14:paraId="44A1CCA3" w14:textId="77777777" w:rsidR="00656324" w:rsidRPr="00086763" w:rsidRDefault="00656324"/>
        </w:tc>
        <w:tc>
          <w:tcPr>
            <w:tcW w:w="5198" w:type="dxa"/>
            <w:tcBorders>
              <w:top w:val="single" w:sz="4" w:space="0" w:color="auto"/>
              <w:left w:val="single" w:sz="4" w:space="0" w:color="auto"/>
              <w:bottom w:val="single" w:sz="4" w:space="0" w:color="auto"/>
              <w:right w:val="single" w:sz="4" w:space="0" w:color="auto"/>
            </w:tcBorders>
            <w:noWrap/>
            <w:hideMark/>
          </w:tcPr>
          <w:p w14:paraId="0E34738B" w14:textId="6D908B85" w:rsidR="00656324" w:rsidRPr="00086763" w:rsidRDefault="00656324">
            <w:r>
              <w:t>Witboek over kunstmatige intelligentie – Een Europese benadering op basis van excellentie en vertrouwen</w:t>
            </w:r>
          </w:p>
        </w:tc>
      </w:tr>
      <w:tr w:rsidR="0013737E" w:rsidRPr="00086763" w14:paraId="37ECE44F" w14:textId="77777777" w:rsidTr="006A5842">
        <w:tc>
          <w:tcPr>
            <w:tcW w:w="4091" w:type="dxa"/>
            <w:tcBorders>
              <w:top w:val="single" w:sz="4" w:space="0" w:color="auto"/>
              <w:left w:val="single" w:sz="4" w:space="0" w:color="auto"/>
              <w:bottom w:val="single" w:sz="4" w:space="0" w:color="auto"/>
              <w:right w:val="single" w:sz="4" w:space="0" w:color="auto"/>
            </w:tcBorders>
            <w:hideMark/>
          </w:tcPr>
          <w:p w14:paraId="1C0CA8D0" w14:textId="77777777" w:rsidR="00656324" w:rsidRPr="00086763" w:rsidRDefault="00656324">
            <w:pPr>
              <w:rPr>
                <w:b/>
                <w:bCs/>
              </w:rPr>
            </w:pPr>
            <w:r>
              <w:rPr>
                <w:b/>
                <w:bCs/>
              </w:rPr>
              <w:t>Referentiedocumenten</w:t>
            </w:r>
          </w:p>
        </w:tc>
        <w:tc>
          <w:tcPr>
            <w:tcW w:w="5198" w:type="dxa"/>
            <w:tcBorders>
              <w:top w:val="single" w:sz="4" w:space="0" w:color="auto"/>
              <w:left w:val="single" w:sz="4" w:space="0" w:color="auto"/>
              <w:bottom w:val="single" w:sz="4" w:space="0" w:color="auto"/>
              <w:right w:val="single" w:sz="4" w:space="0" w:color="auto"/>
            </w:tcBorders>
            <w:noWrap/>
            <w:hideMark/>
          </w:tcPr>
          <w:p w14:paraId="2CB5077C" w14:textId="77777777" w:rsidR="00656324" w:rsidRPr="00086763" w:rsidRDefault="00656324">
            <w:r>
              <w:t>COM(2020) 65 final</w:t>
            </w:r>
          </w:p>
        </w:tc>
      </w:tr>
      <w:tr w:rsidR="0013737E" w:rsidRPr="00086763" w14:paraId="75463AA2" w14:textId="77777777" w:rsidTr="006A5842">
        <w:tc>
          <w:tcPr>
            <w:tcW w:w="4091" w:type="dxa"/>
            <w:tcBorders>
              <w:top w:val="single" w:sz="4" w:space="0" w:color="auto"/>
              <w:left w:val="single" w:sz="4" w:space="0" w:color="auto"/>
              <w:bottom w:val="single" w:sz="4" w:space="0" w:color="auto"/>
              <w:right w:val="single" w:sz="4" w:space="0" w:color="auto"/>
            </w:tcBorders>
            <w:hideMark/>
          </w:tcPr>
          <w:p w14:paraId="15FF7063" w14:textId="77777777" w:rsidR="00656324" w:rsidRPr="00086763" w:rsidRDefault="00656324">
            <w:pPr>
              <w:rPr>
                <w:b/>
                <w:bCs/>
              </w:rPr>
            </w:pPr>
            <w:r>
              <w:rPr>
                <w:b/>
                <w:bCs/>
              </w:rPr>
              <w:t>Rechtsgrondslag</w:t>
            </w:r>
          </w:p>
        </w:tc>
        <w:tc>
          <w:tcPr>
            <w:tcW w:w="5198" w:type="dxa"/>
            <w:tcBorders>
              <w:top w:val="single" w:sz="4" w:space="0" w:color="auto"/>
              <w:left w:val="single" w:sz="4" w:space="0" w:color="auto"/>
              <w:bottom w:val="single" w:sz="4" w:space="0" w:color="auto"/>
              <w:right w:val="single" w:sz="4" w:space="0" w:color="auto"/>
            </w:tcBorders>
            <w:noWrap/>
            <w:hideMark/>
          </w:tcPr>
          <w:p w14:paraId="03873699" w14:textId="77777777" w:rsidR="00656324" w:rsidRPr="00086763" w:rsidRDefault="00656324">
            <w:r>
              <w:t>Artikel 307 van het Verdrag betreffende de werking van de Europese Unie</w:t>
            </w:r>
          </w:p>
        </w:tc>
      </w:tr>
      <w:tr w:rsidR="0013737E" w:rsidRPr="00086763" w14:paraId="6C9992CC" w14:textId="77777777" w:rsidTr="006A5842">
        <w:tc>
          <w:tcPr>
            <w:tcW w:w="4091" w:type="dxa"/>
            <w:tcBorders>
              <w:top w:val="single" w:sz="4" w:space="0" w:color="auto"/>
              <w:left w:val="single" w:sz="4" w:space="0" w:color="auto"/>
              <w:bottom w:val="single" w:sz="4" w:space="0" w:color="auto"/>
              <w:right w:val="single" w:sz="4" w:space="0" w:color="auto"/>
            </w:tcBorders>
            <w:hideMark/>
          </w:tcPr>
          <w:p w14:paraId="22445BC1" w14:textId="77777777" w:rsidR="00656324" w:rsidRPr="00086763" w:rsidRDefault="00656324">
            <w:pPr>
              <w:rPr>
                <w:b/>
                <w:bCs/>
              </w:rPr>
            </w:pPr>
            <w:r>
              <w:rPr>
                <w:b/>
                <w:bCs/>
              </w:rPr>
              <w:t>Procedurele grondslag</w:t>
            </w:r>
          </w:p>
        </w:tc>
        <w:tc>
          <w:tcPr>
            <w:tcW w:w="5198" w:type="dxa"/>
            <w:tcBorders>
              <w:top w:val="single" w:sz="4" w:space="0" w:color="auto"/>
              <w:left w:val="single" w:sz="4" w:space="0" w:color="auto"/>
              <w:bottom w:val="single" w:sz="4" w:space="0" w:color="auto"/>
              <w:right w:val="single" w:sz="4" w:space="0" w:color="auto"/>
            </w:tcBorders>
            <w:noWrap/>
            <w:hideMark/>
          </w:tcPr>
          <w:p w14:paraId="3380BB2E" w14:textId="77777777" w:rsidR="00656324" w:rsidRPr="00086763" w:rsidRDefault="00656324">
            <w:r>
              <w:t>Art. 41 onder b), i), rvo</w:t>
            </w:r>
          </w:p>
        </w:tc>
      </w:tr>
      <w:tr w:rsidR="0013737E" w:rsidRPr="00086763" w14:paraId="1291CED7" w14:textId="77777777" w:rsidTr="006A5842">
        <w:tc>
          <w:tcPr>
            <w:tcW w:w="4091" w:type="dxa"/>
            <w:tcBorders>
              <w:top w:val="single" w:sz="4" w:space="0" w:color="auto"/>
              <w:left w:val="single" w:sz="4" w:space="0" w:color="auto"/>
              <w:bottom w:val="single" w:sz="4" w:space="0" w:color="auto"/>
              <w:right w:val="single" w:sz="4" w:space="0" w:color="auto"/>
            </w:tcBorders>
            <w:hideMark/>
          </w:tcPr>
          <w:p w14:paraId="5AA19A10" w14:textId="77777777" w:rsidR="00656324" w:rsidRPr="00086763" w:rsidRDefault="00656324" w:rsidP="0035109F">
            <w:pPr>
              <w:jc w:val="left"/>
              <w:rPr>
                <w:b/>
                <w:bCs/>
              </w:rPr>
            </w:pPr>
            <w:r>
              <w:rPr>
                <w:b/>
                <w:bCs/>
              </w:rPr>
              <w:t>Raadpleging door de Raad/het EP/Brief van de Commissie</w:t>
            </w:r>
          </w:p>
        </w:tc>
        <w:tc>
          <w:tcPr>
            <w:tcW w:w="5198" w:type="dxa"/>
            <w:tcBorders>
              <w:top w:val="single" w:sz="4" w:space="0" w:color="auto"/>
              <w:left w:val="single" w:sz="4" w:space="0" w:color="auto"/>
              <w:bottom w:val="single" w:sz="4" w:space="0" w:color="auto"/>
              <w:right w:val="single" w:sz="4" w:space="0" w:color="auto"/>
            </w:tcBorders>
            <w:noWrap/>
            <w:hideMark/>
          </w:tcPr>
          <w:p w14:paraId="04A03EB1" w14:textId="77777777" w:rsidR="00656324" w:rsidRPr="00086763" w:rsidRDefault="00656324"/>
        </w:tc>
      </w:tr>
      <w:tr w:rsidR="0013737E" w:rsidRPr="00086763" w14:paraId="0CC96B65" w14:textId="77777777" w:rsidTr="006A5842">
        <w:tc>
          <w:tcPr>
            <w:tcW w:w="4091" w:type="dxa"/>
            <w:tcBorders>
              <w:top w:val="single" w:sz="4" w:space="0" w:color="auto"/>
              <w:left w:val="single" w:sz="4" w:space="0" w:color="auto"/>
              <w:bottom w:val="single" w:sz="4" w:space="0" w:color="auto"/>
              <w:right w:val="single" w:sz="4" w:space="0" w:color="auto"/>
            </w:tcBorders>
            <w:hideMark/>
          </w:tcPr>
          <w:p w14:paraId="7EB8CCF8" w14:textId="14D42CAF" w:rsidR="00656324" w:rsidRPr="00086763" w:rsidRDefault="00656324">
            <w:pPr>
              <w:rPr>
                <w:b/>
                <w:bCs/>
              </w:rPr>
            </w:pPr>
            <w:r>
              <w:rPr>
                <w:b/>
                <w:bCs/>
              </w:rPr>
              <w:t>Besluit van de voorzitter</w:t>
            </w:r>
          </w:p>
        </w:tc>
        <w:tc>
          <w:tcPr>
            <w:tcW w:w="5198" w:type="dxa"/>
            <w:tcBorders>
              <w:top w:val="single" w:sz="4" w:space="0" w:color="auto"/>
              <w:left w:val="single" w:sz="4" w:space="0" w:color="auto"/>
              <w:bottom w:val="single" w:sz="4" w:space="0" w:color="auto"/>
              <w:right w:val="single" w:sz="4" w:space="0" w:color="auto"/>
            </w:tcBorders>
            <w:noWrap/>
          </w:tcPr>
          <w:p w14:paraId="129C2F25" w14:textId="77777777" w:rsidR="00656324" w:rsidRPr="00086763" w:rsidRDefault="00656324"/>
        </w:tc>
      </w:tr>
      <w:tr w:rsidR="0013737E" w:rsidRPr="00086763" w14:paraId="4826F221" w14:textId="77777777" w:rsidTr="006A5842">
        <w:tc>
          <w:tcPr>
            <w:tcW w:w="4091" w:type="dxa"/>
            <w:tcBorders>
              <w:top w:val="single" w:sz="4" w:space="0" w:color="auto"/>
              <w:left w:val="single" w:sz="4" w:space="0" w:color="auto"/>
              <w:bottom w:val="single" w:sz="4" w:space="0" w:color="auto"/>
              <w:right w:val="single" w:sz="4" w:space="0" w:color="auto"/>
            </w:tcBorders>
            <w:hideMark/>
          </w:tcPr>
          <w:p w14:paraId="2629CA13" w14:textId="77777777" w:rsidR="00656324" w:rsidRPr="00086763" w:rsidRDefault="00656324">
            <w:pPr>
              <w:rPr>
                <w:b/>
                <w:bCs/>
              </w:rPr>
            </w:pPr>
            <w:r>
              <w:rPr>
                <w:b/>
                <w:bCs/>
              </w:rPr>
              <w:t>Bevoegde commissie</w:t>
            </w:r>
          </w:p>
        </w:tc>
        <w:tc>
          <w:tcPr>
            <w:tcW w:w="5198" w:type="dxa"/>
            <w:tcBorders>
              <w:top w:val="single" w:sz="4" w:space="0" w:color="auto"/>
              <w:left w:val="single" w:sz="4" w:space="0" w:color="auto"/>
              <w:bottom w:val="single" w:sz="4" w:space="0" w:color="auto"/>
              <w:right w:val="single" w:sz="4" w:space="0" w:color="auto"/>
            </w:tcBorders>
            <w:noWrap/>
            <w:hideMark/>
          </w:tcPr>
          <w:p w14:paraId="2C3A0036" w14:textId="77777777" w:rsidR="00656324" w:rsidRPr="00086763" w:rsidRDefault="00656324">
            <w:pPr>
              <w:jc w:val="left"/>
            </w:pPr>
            <w:r>
              <w:t>Sociaal Beleid, Onderwijs, Werkgelegenheid, Onderzoek en Cultuur (SEDEC)</w:t>
            </w:r>
          </w:p>
        </w:tc>
      </w:tr>
      <w:tr w:rsidR="0013737E" w:rsidRPr="00086763" w14:paraId="48B12CB6" w14:textId="77777777" w:rsidTr="006A5842">
        <w:tc>
          <w:tcPr>
            <w:tcW w:w="4091" w:type="dxa"/>
            <w:tcBorders>
              <w:top w:val="single" w:sz="4" w:space="0" w:color="auto"/>
              <w:left w:val="single" w:sz="4" w:space="0" w:color="auto"/>
              <w:bottom w:val="single" w:sz="4" w:space="0" w:color="auto"/>
              <w:right w:val="single" w:sz="4" w:space="0" w:color="auto"/>
            </w:tcBorders>
            <w:hideMark/>
          </w:tcPr>
          <w:p w14:paraId="1923C604" w14:textId="77777777" w:rsidR="00656324" w:rsidRPr="00086763" w:rsidRDefault="00656324">
            <w:pPr>
              <w:rPr>
                <w:b/>
                <w:bCs/>
              </w:rPr>
            </w:pPr>
            <w:r>
              <w:rPr>
                <w:b/>
                <w:bCs/>
              </w:rPr>
              <w:t>Rapporteur</w:t>
            </w:r>
          </w:p>
        </w:tc>
        <w:tc>
          <w:tcPr>
            <w:tcW w:w="5198" w:type="dxa"/>
            <w:tcBorders>
              <w:top w:val="single" w:sz="4" w:space="0" w:color="auto"/>
              <w:left w:val="single" w:sz="4" w:space="0" w:color="auto"/>
              <w:bottom w:val="single" w:sz="4" w:space="0" w:color="auto"/>
              <w:right w:val="single" w:sz="4" w:space="0" w:color="auto"/>
            </w:tcBorders>
            <w:noWrap/>
            <w:hideMark/>
          </w:tcPr>
          <w:p w14:paraId="0C703BC2" w14:textId="77777777" w:rsidR="00656324" w:rsidRPr="00086763" w:rsidRDefault="00656324">
            <w:r>
              <w:t>Guido RINK (NL/PSE)</w:t>
            </w:r>
          </w:p>
        </w:tc>
      </w:tr>
      <w:tr w:rsidR="0013737E" w:rsidRPr="00086763" w14:paraId="5D536E0F" w14:textId="77777777" w:rsidTr="006A5842">
        <w:tc>
          <w:tcPr>
            <w:tcW w:w="4091" w:type="dxa"/>
            <w:tcBorders>
              <w:top w:val="single" w:sz="4" w:space="0" w:color="auto"/>
              <w:left w:val="single" w:sz="4" w:space="0" w:color="auto"/>
              <w:bottom w:val="single" w:sz="4" w:space="0" w:color="auto"/>
              <w:right w:val="single" w:sz="4" w:space="0" w:color="auto"/>
            </w:tcBorders>
            <w:hideMark/>
          </w:tcPr>
          <w:p w14:paraId="500D148A" w14:textId="77777777" w:rsidR="00656324" w:rsidRPr="00086763" w:rsidRDefault="00656324">
            <w:pPr>
              <w:rPr>
                <w:b/>
                <w:bCs/>
              </w:rPr>
            </w:pPr>
            <w:r>
              <w:rPr>
                <w:b/>
                <w:bCs/>
              </w:rPr>
              <w:t>Analysenota</w:t>
            </w:r>
          </w:p>
        </w:tc>
        <w:tc>
          <w:tcPr>
            <w:tcW w:w="5198" w:type="dxa"/>
            <w:tcBorders>
              <w:top w:val="single" w:sz="4" w:space="0" w:color="auto"/>
              <w:left w:val="single" w:sz="4" w:space="0" w:color="auto"/>
              <w:bottom w:val="single" w:sz="4" w:space="0" w:color="auto"/>
              <w:right w:val="single" w:sz="4" w:space="0" w:color="auto"/>
            </w:tcBorders>
            <w:noWrap/>
          </w:tcPr>
          <w:p w14:paraId="20D9C47B" w14:textId="25993B01" w:rsidR="00656324" w:rsidRPr="00086763" w:rsidRDefault="00656324"/>
        </w:tc>
      </w:tr>
      <w:tr w:rsidR="0013737E" w:rsidRPr="00086763" w14:paraId="5000E315" w14:textId="77777777" w:rsidTr="006A5842">
        <w:tc>
          <w:tcPr>
            <w:tcW w:w="4091" w:type="dxa"/>
            <w:tcBorders>
              <w:top w:val="single" w:sz="4" w:space="0" w:color="auto"/>
              <w:left w:val="single" w:sz="4" w:space="0" w:color="auto"/>
              <w:bottom w:val="single" w:sz="4" w:space="0" w:color="auto"/>
              <w:right w:val="single" w:sz="4" w:space="0" w:color="auto"/>
            </w:tcBorders>
            <w:hideMark/>
          </w:tcPr>
          <w:p w14:paraId="64B22B4F" w14:textId="77777777" w:rsidR="00656324" w:rsidRPr="00086763" w:rsidRDefault="00656324">
            <w:pPr>
              <w:rPr>
                <w:b/>
                <w:bCs/>
              </w:rPr>
            </w:pPr>
            <w:r>
              <w:rPr>
                <w:b/>
                <w:bCs/>
              </w:rPr>
              <w:t>Behandeling door de commissie</w:t>
            </w:r>
          </w:p>
        </w:tc>
        <w:tc>
          <w:tcPr>
            <w:tcW w:w="5198" w:type="dxa"/>
            <w:tcBorders>
              <w:top w:val="single" w:sz="4" w:space="0" w:color="auto"/>
              <w:left w:val="single" w:sz="4" w:space="0" w:color="auto"/>
              <w:bottom w:val="single" w:sz="4" w:space="0" w:color="auto"/>
              <w:right w:val="single" w:sz="4" w:space="0" w:color="auto"/>
            </w:tcBorders>
            <w:noWrap/>
            <w:hideMark/>
          </w:tcPr>
          <w:p w14:paraId="22346B30" w14:textId="77777777" w:rsidR="00656324" w:rsidRPr="00086763" w:rsidRDefault="00656324">
            <w:r>
              <w:t>09/07/2020</w:t>
            </w:r>
          </w:p>
        </w:tc>
      </w:tr>
      <w:tr w:rsidR="0013737E" w:rsidRPr="00086763" w14:paraId="4D203385" w14:textId="77777777" w:rsidTr="006A5842">
        <w:tc>
          <w:tcPr>
            <w:tcW w:w="4091" w:type="dxa"/>
            <w:tcBorders>
              <w:top w:val="single" w:sz="4" w:space="0" w:color="auto"/>
              <w:left w:val="single" w:sz="4" w:space="0" w:color="auto"/>
              <w:bottom w:val="single" w:sz="4" w:space="0" w:color="auto"/>
              <w:right w:val="single" w:sz="4" w:space="0" w:color="auto"/>
            </w:tcBorders>
            <w:hideMark/>
          </w:tcPr>
          <w:p w14:paraId="4D1483E1" w14:textId="77777777" w:rsidR="00656324" w:rsidRPr="00086763" w:rsidRDefault="00656324">
            <w:pPr>
              <w:rPr>
                <w:b/>
                <w:bCs/>
              </w:rPr>
            </w:pPr>
            <w:r>
              <w:rPr>
                <w:b/>
                <w:bCs/>
              </w:rPr>
              <w:t>Goedkeuring door de commissie</w:t>
            </w:r>
          </w:p>
        </w:tc>
        <w:tc>
          <w:tcPr>
            <w:tcW w:w="5198" w:type="dxa"/>
            <w:tcBorders>
              <w:top w:val="single" w:sz="4" w:space="0" w:color="auto"/>
              <w:left w:val="single" w:sz="4" w:space="0" w:color="auto"/>
              <w:bottom w:val="single" w:sz="4" w:space="0" w:color="auto"/>
              <w:right w:val="single" w:sz="4" w:space="0" w:color="auto"/>
            </w:tcBorders>
            <w:noWrap/>
            <w:hideMark/>
          </w:tcPr>
          <w:p w14:paraId="2714341E" w14:textId="77777777" w:rsidR="00656324" w:rsidRPr="00086763" w:rsidRDefault="00656324">
            <w:r>
              <w:t>09/07/2020</w:t>
            </w:r>
          </w:p>
        </w:tc>
      </w:tr>
      <w:tr w:rsidR="0013737E" w:rsidRPr="00086763" w14:paraId="5D5E8A5A" w14:textId="77777777" w:rsidTr="006A5842">
        <w:tc>
          <w:tcPr>
            <w:tcW w:w="4091" w:type="dxa"/>
            <w:tcBorders>
              <w:top w:val="single" w:sz="4" w:space="0" w:color="auto"/>
              <w:left w:val="single" w:sz="4" w:space="0" w:color="auto"/>
              <w:bottom w:val="single" w:sz="4" w:space="0" w:color="auto"/>
              <w:right w:val="single" w:sz="4" w:space="0" w:color="auto"/>
            </w:tcBorders>
            <w:hideMark/>
          </w:tcPr>
          <w:p w14:paraId="6765603D" w14:textId="77777777" w:rsidR="00656324" w:rsidRPr="00086763" w:rsidRDefault="00656324">
            <w:pPr>
              <w:jc w:val="left"/>
              <w:rPr>
                <w:b/>
                <w:bCs/>
              </w:rPr>
            </w:pPr>
            <w:r>
              <w:rPr>
                <w:b/>
                <w:bCs/>
              </w:rPr>
              <w:t>Stemuitslag in de commissie (meerderheid/algemene stemmen)</w:t>
            </w:r>
          </w:p>
        </w:tc>
        <w:tc>
          <w:tcPr>
            <w:tcW w:w="5198" w:type="dxa"/>
            <w:tcBorders>
              <w:top w:val="single" w:sz="4" w:space="0" w:color="auto"/>
              <w:left w:val="single" w:sz="4" w:space="0" w:color="auto"/>
              <w:bottom w:val="single" w:sz="4" w:space="0" w:color="auto"/>
              <w:right w:val="single" w:sz="4" w:space="0" w:color="auto"/>
            </w:tcBorders>
            <w:noWrap/>
            <w:hideMark/>
          </w:tcPr>
          <w:p w14:paraId="3729E5B8" w14:textId="77777777" w:rsidR="00656324" w:rsidRPr="00086763" w:rsidRDefault="000B5D3C">
            <w:r>
              <w:t>Met meerderheid van stemmen goedgekeurd</w:t>
            </w:r>
          </w:p>
        </w:tc>
      </w:tr>
      <w:tr w:rsidR="0013737E" w:rsidRPr="00086763" w14:paraId="6C8B33B4" w14:textId="77777777" w:rsidTr="006A5842">
        <w:tc>
          <w:tcPr>
            <w:tcW w:w="4091" w:type="dxa"/>
            <w:tcBorders>
              <w:top w:val="single" w:sz="4" w:space="0" w:color="auto"/>
              <w:left w:val="single" w:sz="4" w:space="0" w:color="auto"/>
              <w:bottom w:val="single" w:sz="4" w:space="0" w:color="auto"/>
              <w:right w:val="single" w:sz="4" w:space="0" w:color="auto"/>
            </w:tcBorders>
            <w:hideMark/>
          </w:tcPr>
          <w:p w14:paraId="0EEE759E" w14:textId="77777777" w:rsidR="00656324" w:rsidRPr="00086763" w:rsidRDefault="00656324">
            <w:pPr>
              <w:jc w:val="left"/>
              <w:rPr>
                <w:b/>
                <w:bCs/>
              </w:rPr>
            </w:pPr>
            <w:r>
              <w:rPr>
                <w:b/>
                <w:bCs/>
              </w:rPr>
              <w:t>Goedkeuring door de voltallige vergadering</w:t>
            </w:r>
          </w:p>
        </w:tc>
        <w:tc>
          <w:tcPr>
            <w:tcW w:w="5198" w:type="dxa"/>
            <w:tcBorders>
              <w:top w:val="single" w:sz="4" w:space="0" w:color="auto"/>
              <w:left w:val="single" w:sz="4" w:space="0" w:color="auto"/>
              <w:bottom w:val="single" w:sz="4" w:space="0" w:color="auto"/>
              <w:right w:val="single" w:sz="4" w:space="0" w:color="auto"/>
            </w:tcBorders>
            <w:noWrap/>
            <w:hideMark/>
          </w:tcPr>
          <w:p w14:paraId="6D22D67C" w14:textId="2AC2E9F3" w:rsidR="00656324" w:rsidRPr="00086763" w:rsidRDefault="00656324">
            <w:r>
              <w:t>12-14/10/2020</w:t>
            </w:r>
          </w:p>
        </w:tc>
      </w:tr>
      <w:tr w:rsidR="0013737E" w:rsidRPr="00086763" w14:paraId="5BBFAA23" w14:textId="77777777" w:rsidTr="006A5842">
        <w:tc>
          <w:tcPr>
            <w:tcW w:w="4091" w:type="dxa"/>
            <w:tcBorders>
              <w:top w:val="single" w:sz="4" w:space="0" w:color="auto"/>
              <w:left w:val="single" w:sz="4" w:space="0" w:color="auto"/>
              <w:bottom w:val="single" w:sz="4" w:space="0" w:color="auto"/>
              <w:right w:val="single" w:sz="4" w:space="0" w:color="auto"/>
            </w:tcBorders>
            <w:hideMark/>
          </w:tcPr>
          <w:p w14:paraId="334B6685" w14:textId="22013AC6" w:rsidR="00656324" w:rsidRPr="00086763" w:rsidRDefault="00656324">
            <w:pPr>
              <w:rPr>
                <w:b/>
                <w:bCs/>
              </w:rPr>
            </w:pPr>
            <w:r>
              <w:rPr>
                <w:b/>
                <w:bCs/>
              </w:rPr>
              <w:t>Eerdere adviezen van het CvdR</w:t>
            </w:r>
          </w:p>
        </w:tc>
        <w:tc>
          <w:tcPr>
            <w:tcW w:w="5198" w:type="dxa"/>
            <w:tcBorders>
              <w:top w:val="single" w:sz="4" w:space="0" w:color="auto"/>
              <w:left w:val="single" w:sz="4" w:space="0" w:color="auto"/>
              <w:bottom w:val="single" w:sz="4" w:space="0" w:color="auto"/>
              <w:right w:val="single" w:sz="4" w:space="0" w:color="auto"/>
            </w:tcBorders>
            <w:noWrap/>
          </w:tcPr>
          <w:p w14:paraId="6EA8C5F8" w14:textId="77777777" w:rsidR="00656324" w:rsidRPr="00086763" w:rsidRDefault="00656324" w:rsidP="0035109F">
            <w:pPr>
              <w:pStyle w:val="ListParagraph"/>
              <w:overflowPunct/>
              <w:ind w:left="0"/>
            </w:pPr>
            <w:r>
              <w:t>Kunstmatige intelligentie voor Europa</w:t>
            </w:r>
            <w:r w:rsidRPr="00086763">
              <w:rPr>
                <w:rStyle w:val="FootnoteReference"/>
                <w:sz w:val="24"/>
                <w:szCs w:val="24"/>
              </w:rPr>
              <w:footnoteReference w:id="12"/>
            </w:r>
          </w:p>
        </w:tc>
      </w:tr>
      <w:tr w:rsidR="0013737E" w:rsidRPr="00086763" w14:paraId="442C596F" w14:textId="77777777" w:rsidTr="006A5842">
        <w:tc>
          <w:tcPr>
            <w:tcW w:w="4091" w:type="dxa"/>
            <w:tcBorders>
              <w:top w:val="single" w:sz="4" w:space="0" w:color="auto"/>
              <w:left w:val="single" w:sz="4" w:space="0" w:color="auto"/>
              <w:bottom w:val="single" w:sz="4" w:space="0" w:color="auto"/>
              <w:right w:val="single" w:sz="4" w:space="0" w:color="auto"/>
            </w:tcBorders>
            <w:hideMark/>
          </w:tcPr>
          <w:p w14:paraId="62EEE20B" w14:textId="77777777" w:rsidR="00656324" w:rsidRPr="00086763" w:rsidRDefault="00656324">
            <w:pPr>
              <w:jc w:val="left"/>
              <w:rPr>
                <w:b/>
                <w:bCs/>
              </w:rPr>
            </w:pPr>
            <w:r>
              <w:rPr>
                <w:b/>
                <w:bCs/>
              </w:rPr>
              <w:t>Raadpleging netwerk voor subsidiariteitstoezicht</w:t>
            </w:r>
          </w:p>
        </w:tc>
        <w:tc>
          <w:tcPr>
            <w:tcW w:w="5198" w:type="dxa"/>
            <w:tcBorders>
              <w:top w:val="single" w:sz="4" w:space="0" w:color="auto"/>
              <w:left w:val="single" w:sz="4" w:space="0" w:color="auto"/>
              <w:bottom w:val="single" w:sz="4" w:space="0" w:color="auto"/>
              <w:right w:val="single" w:sz="4" w:space="0" w:color="auto"/>
            </w:tcBorders>
            <w:noWrap/>
            <w:hideMark/>
          </w:tcPr>
          <w:p w14:paraId="0162BE54" w14:textId="77777777" w:rsidR="00656324" w:rsidRPr="00086763" w:rsidRDefault="00656324"/>
        </w:tc>
      </w:tr>
    </w:tbl>
    <w:p w14:paraId="746FC4A6" w14:textId="77777777" w:rsidR="00656324" w:rsidRPr="00086763" w:rsidRDefault="00656324">
      <w:pPr>
        <w:keepLines/>
        <w:rPr>
          <w:bCs/>
        </w:rPr>
      </w:pPr>
    </w:p>
    <w:p w14:paraId="7ED80AFD" w14:textId="77777777" w:rsidR="00836B60" w:rsidRPr="00086763" w:rsidRDefault="00836B60">
      <w:pPr>
        <w:jc w:val="center"/>
      </w:pPr>
      <w:r>
        <w:t>_____________</w:t>
      </w:r>
    </w:p>
    <w:p w14:paraId="412A8153" w14:textId="77777777" w:rsidR="00650603" w:rsidRPr="00086763" w:rsidRDefault="00650603"/>
    <w:sectPr w:rsidR="00650603" w:rsidRPr="00086763" w:rsidSect="00A154E6">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709" w:footer="709" w:gutter="0"/>
      <w:cols w:space="708"/>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C5D06" w14:textId="77777777" w:rsidR="0090149B" w:rsidRDefault="0090149B">
      <w:pPr>
        <w:spacing w:line="240" w:lineRule="auto"/>
      </w:pPr>
      <w:r>
        <w:separator/>
      </w:r>
    </w:p>
  </w:endnote>
  <w:endnote w:type="continuationSeparator" w:id="0">
    <w:p w14:paraId="6B781A41" w14:textId="77777777" w:rsidR="0090149B" w:rsidRDefault="009014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986A6" w14:textId="3932CA64" w:rsidR="00086763" w:rsidRPr="00A154E6" w:rsidRDefault="00A154E6" w:rsidP="00A154E6">
    <w:pPr>
      <w:pStyle w:val="Footer"/>
    </w:pPr>
    <w:r>
      <w:t xml:space="preserve">COR-2020-02014-00-01-AC-TRA (EN) </w:t>
    </w:r>
    <w:r>
      <w:fldChar w:fldCharType="begin"/>
    </w:r>
    <w:r>
      <w:instrText xml:space="preserve"> PAGE  \* Arabic  \* MERGEFORMAT </w:instrText>
    </w:r>
    <w:r>
      <w:fldChar w:fldCharType="separate"/>
    </w:r>
    <w:r w:rsidR="009C3CAC">
      <w:rPr>
        <w:noProof/>
      </w:rPr>
      <w:t>1</w:t>
    </w:r>
    <w:r>
      <w:fldChar w:fldCharType="end"/>
    </w:r>
    <w:r>
      <w:t>/</w:t>
    </w:r>
    <w:r w:rsidR="009C3CAC">
      <w:fldChar w:fldCharType="begin"/>
    </w:r>
    <w:r w:rsidR="009C3CAC">
      <w:instrText xml:space="preserve"> NUMPAGES </w:instrText>
    </w:r>
    <w:r w:rsidR="009C3CAC">
      <w:fldChar w:fldCharType="separate"/>
    </w:r>
    <w:r w:rsidR="009C3CAC">
      <w:rPr>
        <w:noProof/>
      </w:rPr>
      <w:t>14</w:t>
    </w:r>
    <w:r w:rsidR="009C3CA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E60F5" w14:textId="77777777" w:rsidR="00197F09" w:rsidRPr="00A154E6" w:rsidRDefault="00197F09" w:rsidP="00A154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BAA1D" w14:textId="7892EBFB" w:rsidR="00197F09" w:rsidRPr="00A154E6" w:rsidRDefault="00A154E6" w:rsidP="00A154E6">
    <w:pPr>
      <w:pStyle w:val="Footer"/>
    </w:pPr>
    <w:r>
      <w:t xml:space="preserve">COR-2020-02014-00-01-AC-TRA (EN) </w:t>
    </w:r>
    <w:r>
      <w:fldChar w:fldCharType="begin"/>
    </w:r>
    <w:r>
      <w:instrText xml:space="preserve"> PAGE  \* Arabic  \* MERGEFORMAT </w:instrText>
    </w:r>
    <w:r>
      <w:fldChar w:fldCharType="separate"/>
    </w:r>
    <w:r w:rsidR="009C3CAC">
      <w:rPr>
        <w:noProof/>
      </w:rPr>
      <w:t>2</w:t>
    </w:r>
    <w:r>
      <w:fldChar w:fldCharType="end"/>
    </w:r>
    <w:r>
      <w:t>/</w:t>
    </w:r>
    <w:r w:rsidR="009C3CAC">
      <w:fldChar w:fldCharType="begin"/>
    </w:r>
    <w:r w:rsidR="009C3CAC">
      <w:instrText xml:space="preserve"> NUMPAGES </w:instrText>
    </w:r>
    <w:r w:rsidR="009C3CAC">
      <w:fldChar w:fldCharType="separate"/>
    </w:r>
    <w:r w:rsidR="009C3CAC">
      <w:rPr>
        <w:noProof/>
      </w:rPr>
      <w:t>14</w:t>
    </w:r>
    <w:r w:rsidR="009C3CAC">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02EF9" w14:textId="77777777" w:rsidR="00197F09" w:rsidRPr="00A154E6" w:rsidRDefault="00197F09" w:rsidP="00A154E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91FB4" w14:textId="77777777" w:rsidR="00365BA3" w:rsidRPr="00A154E6" w:rsidRDefault="00365BA3" w:rsidP="00A154E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98226" w14:textId="75A60B87" w:rsidR="00365BA3" w:rsidRPr="00A154E6" w:rsidRDefault="00A154E6" w:rsidP="00A154E6">
    <w:pPr>
      <w:pStyle w:val="Footer"/>
    </w:pPr>
    <w:r>
      <w:t xml:space="preserve">COR-2020-02014-00-01-AC-TRA (EN) </w:t>
    </w:r>
    <w:r>
      <w:fldChar w:fldCharType="begin"/>
    </w:r>
    <w:r>
      <w:instrText xml:space="preserve"> PAGE  \* Arabic  \* MERGEFORMAT </w:instrText>
    </w:r>
    <w:r>
      <w:fldChar w:fldCharType="separate"/>
    </w:r>
    <w:r w:rsidR="009C3CAC">
      <w:rPr>
        <w:noProof/>
      </w:rPr>
      <w:t>12</w:t>
    </w:r>
    <w:r>
      <w:fldChar w:fldCharType="end"/>
    </w:r>
    <w:r>
      <w:t>/</w:t>
    </w:r>
    <w:r w:rsidR="009C3CAC">
      <w:fldChar w:fldCharType="begin"/>
    </w:r>
    <w:r w:rsidR="009C3CAC">
      <w:instrText xml:space="preserve"> NUMPAGES </w:instrText>
    </w:r>
    <w:r w:rsidR="009C3CAC">
      <w:fldChar w:fldCharType="separate"/>
    </w:r>
    <w:r w:rsidR="009C3CAC">
      <w:rPr>
        <w:noProof/>
      </w:rPr>
      <w:t>14</w:t>
    </w:r>
    <w:r w:rsidR="009C3CAC">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2A410" w14:textId="77777777" w:rsidR="00365BA3" w:rsidRPr="00A154E6" w:rsidRDefault="00365BA3" w:rsidP="00A154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04EA1" w14:textId="77777777" w:rsidR="0090149B" w:rsidRDefault="0090149B">
      <w:r>
        <w:separator/>
      </w:r>
    </w:p>
  </w:footnote>
  <w:footnote w:type="continuationSeparator" w:id="0">
    <w:p w14:paraId="3E118289" w14:textId="77777777" w:rsidR="0090149B" w:rsidRDefault="0090149B">
      <w:r>
        <w:continuationSeparator/>
      </w:r>
    </w:p>
  </w:footnote>
  <w:footnote w:id="1">
    <w:p w14:paraId="08E0D0DF" w14:textId="77777777" w:rsidR="00197F09" w:rsidRPr="00B32705" w:rsidRDefault="00197F09" w:rsidP="00202DF6">
      <w:pPr>
        <w:pStyle w:val="FootnoteText"/>
        <w:ind w:left="567" w:hanging="567"/>
      </w:pPr>
      <w:r>
        <w:rPr>
          <w:rStyle w:val="FootnoteReference"/>
          <w:rFonts w:eastAsiaTheme="majorEastAsia"/>
          <w:sz w:val="24"/>
          <w:szCs w:val="24"/>
        </w:rPr>
        <w:footnoteRef/>
      </w:r>
      <w:r>
        <w:tab/>
        <w:t>COM(2020) 67.</w:t>
      </w:r>
    </w:p>
  </w:footnote>
  <w:footnote w:id="2">
    <w:p w14:paraId="33B9BBAD" w14:textId="77777777" w:rsidR="00197F09" w:rsidRPr="00B32705" w:rsidRDefault="00197F09" w:rsidP="00202DF6">
      <w:pPr>
        <w:pStyle w:val="FootnoteText"/>
        <w:ind w:left="567" w:hanging="567"/>
      </w:pPr>
      <w:r>
        <w:rPr>
          <w:rStyle w:val="FootnoteReference"/>
          <w:rFonts w:eastAsiaTheme="majorEastAsia"/>
          <w:sz w:val="24"/>
          <w:szCs w:val="24"/>
        </w:rPr>
        <w:footnoteRef/>
      </w:r>
      <w:r>
        <w:rPr>
          <w:sz w:val="24"/>
          <w:szCs w:val="24"/>
        </w:rPr>
        <w:t xml:space="preserve"> </w:t>
      </w:r>
      <w:r>
        <w:rPr>
          <w:sz w:val="24"/>
          <w:szCs w:val="24"/>
        </w:rPr>
        <w:tab/>
      </w:r>
      <w:r>
        <w:t>COM(2020) 66.</w:t>
      </w:r>
    </w:p>
  </w:footnote>
  <w:footnote w:id="3">
    <w:p w14:paraId="7761AC51" w14:textId="77777777" w:rsidR="00197F09" w:rsidRPr="00273750" w:rsidRDefault="00197F09" w:rsidP="00202DF6">
      <w:pPr>
        <w:pStyle w:val="FootnoteText"/>
        <w:ind w:left="567" w:hanging="567"/>
      </w:pPr>
      <w:r>
        <w:rPr>
          <w:rStyle w:val="FootnoteReference"/>
          <w:rFonts w:eastAsiaTheme="majorEastAsia"/>
          <w:sz w:val="24"/>
          <w:szCs w:val="24"/>
        </w:rPr>
        <w:footnoteRef/>
      </w:r>
      <w:r>
        <w:tab/>
        <w:t>SEDEC-VI/046.</w:t>
      </w:r>
    </w:p>
  </w:footnote>
  <w:footnote w:id="4">
    <w:p w14:paraId="791CA2C6" w14:textId="77777777" w:rsidR="00197F09" w:rsidRPr="00273750" w:rsidRDefault="00197F09" w:rsidP="00202DF6">
      <w:pPr>
        <w:pStyle w:val="FootnoteText"/>
        <w:ind w:left="567" w:hanging="567"/>
      </w:pPr>
      <w:r>
        <w:rPr>
          <w:rStyle w:val="FootnoteReference"/>
          <w:rFonts w:eastAsiaTheme="majorEastAsia"/>
          <w:sz w:val="24"/>
          <w:szCs w:val="24"/>
        </w:rPr>
        <w:footnoteRef/>
      </w:r>
      <w:r>
        <w:tab/>
        <w:t>COM(2016) 381.</w:t>
      </w:r>
    </w:p>
  </w:footnote>
  <w:footnote w:id="5">
    <w:p w14:paraId="5A9D6FCD" w14:textId="77777777" w:rsidR="00197F09" w:rsidRPr="00A50700" w:rsidRDefault="00197F09" w:rsidP="00202DF6">
      <w:pPr>
        <w:pStyle w:val="FootnoteText"/>
        <w:ind w:left="567" w:hanging="567"/>
      </w:pPr>
      <w:r>
        <w:rPr>
          <w:rStyle w:val="FootnoteReference"/>
          <w:rFonts w:eastAsiaTheme="majorEastAsia"/>
          <w:sz w:val="24"/>
          <w:szCs w:val="24"/>
        </w:rPr>
        <w:footnoteRef/>
      </w:r>
      <w:r>
        <w:tab/>
        <w:t>Aanbeveling EU 2020/518.</w:t>
      </w:r>
    </w:p>
  </w:footnote>
  <w:footnote w:id="6">
    <w:p w14:paraId="64D6FEA3" w14:textId="77777777" w:rsidR="00197F09" w:rsidRPr="00E8348D" w:rsidRDefault="00197F09" w:rsidP="004B531D">
      <w:pPr>
        <w:pStyle w:val="FootnoteText"/>
        <w:ind w:left="567" w:hanging="567"/>
      </w:pPr>
      <w:r>
        <w:rPr>
          <w:rStyle w:val="FootnoteReference"/>
          <w:rFonts w:eastAsiaTheme="majorEastAsia"/>
          <w:sz w:val="24"/>
          <w:szCs w:val="24"/>
        </w:rPr>
        <w:footnoteRef/>
      </w:r>
      <w:r>
        <w:rPr>
          <w:sz w:val="24"/>
          <w:szCs w:val="24"/>
        </w:rPr>
        <w:tab/>
      </w:r>
      <w:r>
        <w:t>Hoofdstuk 2 van het Witboek over AI.</w:t>
      </w:r>
    </w:p>
  </w:footnote>
  <w:footnote w:id="7">
    <w:p w14:paraId="26F39406" w14:textId="77777777" w:rsidR="00197F09" w:rsidRPr="00FE3D5B" w:rsidRDefault="00197F09" w:rsidP="004B531D">
      <w:pPr>
        <w:pStyle w:val="FootnoteText"/>
        <w:ind w:left="567" w:hanging="567"/>
        <w:rPr>
          <w:szCs w:val="16"/>
        </w:rPr>
      </w:pPr>
      <w:r>
        <w:rPr>
          <w:rStyle w:val="FootnoteReference"/>
          <w:rFonts w:eastAsiaTheme="majorEastAsia"/>
          <w:sz w:val="24"/>
          <w:szCs w:val="24"/>
        </w:rPr>
        <w:footnoteRef/>
      </w:r>
      <w:r>
        <w:rPr>
          <w:sz w:val="24"/>
          <w:szCs w:val="24"/>
        </w:rPr>
        <w:tab/>
      </w:r>
      <w:r>
        <w:t>Hoofdstuk 4F.</w:t>
      </w:r>
    </w:p>
  </w:footnote>
  <w:footnote w:id="8">
    <w:p w14:paraId="698277BA" w14:textId="58861AA7" w:rsidR="00197F09" w:rsidRDefault="00197F09" w:rsidP="0035109F">
      <w:pPr>
        <w:pStyle w:val="FootnoteText"/>
        <w:ind w:left="567" w:hanging="567"/>
      </w:pPr>
      <w:r>
        <w:rPr>
          <w:rStyle w:val="FootnoteReference"/>
          <w:rFonts w:eastAsiaTheme="majorEastAsia"/>
          <w:sz w:val="24"/>
          <w:szCs w:val="24"/>
        </w:rPr>
        <w:footnoteRef/>
      </w:r>
      <w:r>
        <w:rPr>
          <w:rStyle w:val="FootnoteReference"/>
          <w:sz w:val="24"/>
          <w:szCs w:val="24"/>
        </w:rPr>
        <w:t xml:space="preserve"> </w:t>
      </w:r>
      <w:r>
        <w:rPr>
          <w:sz w:val="24"/>
          <w:szCs w:val="24"/>
        </w:rPr>
        <w:tab/>
      </w:r>
      <w:hyperlink r:id="rId1" w:history="1">
        <w:r>
          <w:rPr>
            <w:rStyle w:val="Hyperlink"/>
          </w:rPr>
          <w:t>https://ec.europa.eu/newsroom/dae/document.cfm?doc_id=56341</w:t>
        </w:r>
      </w:hyperlink>
    </w:p>
  </w:footnote>
  <w:footnote w:id="9">
    <w:p w14:paraId="4D381AB2" w14:textId="77777777" w:rsidR="00197F09" w:rsidRPr="00815D81" w:rsidRDefault="00197F09" w:rsidP="004B531D">
      <w:pPr>
        <w:pStyle w:val="FootnoteText"/>
        <w:ind w:left="567" w:hanging="567"/>
      </w:pPr>
      <w:r>
        <w:rPr>
          <w:rStyle w:val="FootnoteReference"/>
          <w:rFonts w:eastAsiaTheme="majorEastAsia"/>
          <w:sz w:val="24"/>
          <w:szCs w:val="24"/>
        </w:rPr>
        <w:footnoteRef/>
      </w:r>
      <w:r>
        <w:tab/>
        <w:t xml:space="preserve">Maranke Wieringa, </w:t>
      </w:r>
      <w:r>
        <w:rPr>
          <w:i/>
          <w:iCs/>
        </w:rPr>
        <w:t>What to account for when accounting for algorithms</w:t>
      </w:r>
      <w:r>
        <w:t>, Universiteit Utrecht, 20 januari 2020.</w:t>
      </w:r>
    </w:p>
  </w:footnote>
  <w:footnote w:id="10">
    <w:p w14:paraId="7C650FBA" w14:textId="430D0D06" w:rsidR="00197F09" w:rsidRDefault="00197F09" w:rsidP="0035109F">
      <w:pPr>
        <w:pStyle w:val="FootnoteText"/>
        <w:ind w:left="567" w:hanging="567"/>
      </w:pPr>
      <w:r>
        <w:rPr>
          <w:rStyle w:val="FootnoteReference"/>
          <w:rFonts w:eastAsiaTheme="majorEastAsia"/>
          <w:sz w:val="24"/>
          <w:szCs w:val="24"/>
        </w:rPr>
        <w:footnoteRef/>
      </w:r>
      <w:r>
        <w:tab/>
        <w:t xml:space="preserve">Autonome kaderovereenkomst van de Europese sociale partners inzake digitalisering, </w:t>
      </w:r>
      <w:hyperlink r:id="rId2" w:history="1">
        <w:r>
          <w:rPr>
            <w:rStyle w:val="Hyperlink"/>
          </w:rPr>
          <w:t>https://www.etuc.org/system/files/document/file2020-06/Final%2022%2006%2020_Agreement%20on%20Digitalisation%202020.pdf</w:t>
        </w:r>
      </w:hyperlink>
    </w:p>
  </w:footnote>
  <w:footnote w:id="11">
    <w:p w14:paraId="4C195672" w14:textId="77777777" w:rsidR="00197F09" w:rsidRPr="007D48B9" w:rsidRDefault="00197F09" w:rsidP="0035109F">
      <w:pPr>
        <w:autoSpaceDE w:val="0"/>
        <w:autoSpaceDN w:val="0"/>
        <w:adjustRightInd w:val="0"/>
        <w:spacing w:after="60"/>
        <w:ind w:left="510" w:hanging="510"/>
        <w:rPr>
          <w:sz w:val="16"/>
          <w:szCs w:val="16"/>
        </w:rPr>
      </w:pPr>
      <w:r>
        <w:rPr>
          <w:rStyle w:val="FootnoteReference"/>
          <w:rFonts w:eastAsiaTheme="majorEastAsia"/>
          <w:sz w:val="24"/>
          <w:szCs w:val="24"/>
        </w:rPr>
        <w:footnoteRef/>
      </w:r>
      <w:r>
        <w:tab/>
      </w:r>
      <w:r>
        <w:rPr>
          <w:sz w:val="16"/>
          <w:szCs w:val="16"/>
        </w:rPr>
        <w:t>Ontwerpverslag van rapporteur Ibán García del Blanco van 21 april 2020 met aanbevelingen aan de Commissie betreffende een kader voor ethische aspecten van artificiële intelligentie, robotica en aanverwante technologieën (2020/2012(INL)).</w:t>
      </w:r>
    </w:p>
  </w:footnote>
  <w:footnote w:id="12">
    <w:p w14:paraId="03162145" w14:textId="4C8A6456" w:rsidR="00197F09" w:rsidRPr="00864698" w:rsidRDefault="00197F09" w:rsidP="00202DF6">
      <w:pPr>
        <w:pStyle w:val="FootnoteText"/>
        <w:ind w:left="567" w:hanging="567"/>
      </w:pPr>
      <w:r>
        <w:rPr>
          <w:rStyle w:val="FootnoteReference"/>
          <w:rFonts w:eastAsiaTheme="majorEastAsia"/>
          <w:sz w:val="24"/>
          <w:szCs w:val="24"/>
        </w:rPr>
        <w:footnoteRef/>
      </w:r>
      <w:r>
        <w:tab/>
        <w:t>COR-2018-03953-00-00-AC-TRA.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5DD1A" w14:textId="77777777" w:rsidR="00197F09" w:rsidRPr="00A154E6" w:rsidRDefault="00197F09" w:rsidP="00A154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D9EDF" w14:textId="66BEAE5D" w:rsidR="00197F09" w:rsidRPr="00A154E6" w:rsidRDefault="00197F09" w:rsidP="00A154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4BB93" w14:textId="77777777" w:rsidR="00197F09" w:rsidRPr="00A154E6" w:rsidRDefault="00197F09" w:rsidP="00A154E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77A8A" w14:textId="77777777" w:rsidR="00365BA3" w:rsidRPr="00A154E6" w:rsidRDefault="00365BA3" w:rsidP="00A154E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367C4" w14:textId="0E50F2B0" w:rsidR="00365BA3" w:rsidRPr="00A154E6" w:rsidRDefault="00365BA3" w:rsidP="00A154E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210DA" w14:textId="77777777" w:rsidR="00365BA3" w:rsidRPr="00A154E6" w:rsidRDefault="00365BA3" w:rsidP="00A154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24DBF"/>
    <w:multiLevelType w:val="hybridMultilevel"/>
    <w:tmpl w:val="63F8B204"/>
    <w:lvl w:ilvl="0" w:tplc="2BFEFF38">
      <w:start w:val="1"/>
      <w:numFmt w:val="upperRoman"/>
      <w:lvlText w:val="%1."/>
      <w:lvlJc w:val="left"/>
      <w:pPr>
        <w:ind w:left="1080" w:hanging="720"/>
      </w:pPr>
      <w:rPr>
        <w:rFonts w:hint="default"/>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7765A98"/>
    <w:multiLevelType w:val="hybridMultilevel"/>
    <w:tmpl w:val="9A8A304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99E1EA8"/>
    <w:multiLevelType w:val="multilevel"/>
    <w:tmpl w:val="7054AE78"/>
    <w:lvl w:ilvl="0">
      <w:start w:val="1"/>
      <w:numFmt w:val="upperRoman"/>
      <w:lvlText w:val="%1."/>
      <w:lvlJc w:val="left"/>
      <w:pPr>
        <w:ind w:left="502" w:hanging="36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 w15:restartNumberingAfterBreak="0">
    <w:nsid w:val="15551AA6"/>
    <w:multiLevelType w:val="hybridMultilevel"/>
    <w:tmpl w:val="2FF08F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72A5FB3"/>
    <w:multiLevelType w:val="hybridMultilevel"/>
    <w:tmpl w:val="41E8CE40"/>
    <w:lvl w:ilvl="0" w:tplc="04130001">
      <w:start w:val="1"/>
      <w:numFmt w:val="bullet"/>
      <w:lvlText w:val=""/>
      <w:lvlJc w:val="left"/>
      <w:pPr>
        <w:ind w:left="720" w:hanging="360"/>
      </w:pPr>
      <w:rPr>
        <w:rFonts w:ascii="Symbol" w:hAnsi="Symbol" w:hint="default"/>
        <w:i w:val="0"/>
        <w:iCs w:val="0"/>
        <w:sz w:val="22"/>
        <w:szCs w:val="22"/>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7517EDE"/>
    <w:multiLevelType w:val="hybridMultilevel"/>
    <w:tmpl w:val="A8E630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FA32C78"/>
    <w:multiLevelType w:val="hybridMultilevel"/>
    <w:tmpl w:val="DC8806C4"/>
    <w:lvl w:ilvl="0" w:tplc="2F52C7D4">
      <w:start w:val="1"/>
      <w:numFmt w:val="decimal"/>
      <w:lvlText w:val="%1."/>
      <w:lvlJc w:val="left"/>
      <w:pPr>
        <w:ind w:left="720" w:hanging="360"/>
      </w:pPr>
      <w:rPr>
        <w:rFonts w:ascii="Times New Roman" w:hAnsi="Times New Roman" w:cs="Times New Roman" w:hint="default"/>
        <w:i w:val="0"/>
        <w:iCs w:val="0"/>
        <w:sz w:val="22"/>
        <w:szCs w:val="22"/>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8B41E7"/>
    <w:multiLevelType w:val="multilevel"/>
    <w:tmpl w:val="D5ACE922"/>
    <w:lvl w:ilvl="0">
      <w:start w:val="1"/>
      <w:numFmt w:val="decimal"/>
      <w:pStyle w:val="Heading1"/>
      <w:lvlText w:val="%1."/>
      <w:lvlJc w:val="left"/>
      <w:pPr>
        <w:ind w:left="0" w:firstLine="0"/>
      </w:pPr>
      <w:rPr>
        <w:rFonts w:cs="Times New Roman"/>
      </w:rPr>
    </w:lvl>
    <w:lvl w:ilvl="1">
      <w:start w:val="1"/>
      <w:numFmt w:val="decimal"/>
      <w:pStyle w:val="Heading2"/>
      <w:lvlText w:val="%1.%2"/>
      <w:lvlJc w:val="left"/>
      <w:pPr>
        <w:ind w:left="0" w:firstLine="0"/>
      </w:pPr>
      <w:rPr>
        <w:rFonts w:cs="Times New Roman"/>
      </w:rPr>
    </w:lvl>
    <w:lvl w:ilvl="2">
      <w:start w:val="1"/>
      <w:numFmt w:val="decimal"/>
      <w:pStyle w:val="Heading3"/>
      <w:lvlText w:val="%1.%2.%3"/>
      <w:lvlJc w:val="left"/>
      <w:pPr>
        <w:ind w:left="0" w:firstLine="0"/>
      </w:pPr>
      <w:rPr>
        <w:rFonts w:cs="Times New Roman"/>
      </w:rPr>
    </w:lvl>
    <w:lvl w:ilvl="3">
      <w:start w:val="1"/>
      <w:numFmt w:val="decimal"/>
      <w:pStyle w:val="Heading4"/>
      <w:lvlText w:val="%1.%2.%3.%4"/>
      <w:lvlJc w:val="left"/>
      <w:pPr>
        <w:ind w:left="0" w:firstLine="0"/>
      </w:pPr>
      <w:rPr>
        <w:rFonts w:cs="Times New Roman"/>
      </w:rPr>
    </w:lvl>
    <w:lvl w:ilvl="4">
      <w:start w:val="1"/>
      <w:numFmt w:val="decimal"/>
      <w:pStyle w:val="Heading5"/>
      <w:lvlText w:val="%1.%2.%3.%4.%5"/>
      <w:lvlJc w:val="left"/>
      <w:pPr>
        <w:ind w:left="0" w:firstLine="0"/>
      </w:pPr>
      <w:rPr>
        <w:rFonts w:cs="Times New Roman"/>
      </w:rPr>
    </w:lvl>
    <w:lvl w:ilvl="5">
      <w:start w:val="1"/>
      <w:numFmt w:val="decimal"/>
      <w:pStyle w:val="Heading6"/>
      <w:lvlText w:val="%1.%2.%3.%4.%5.%6"/>
      <w:lvlJc w:val="left"/>
      <w:pPr>
        <w:ind w:left="0" w:firstLine="0"/>
      </w:pPr>
      <w:rPr>
        <w:rFonts w:cs="Times New Roman"/>
      </w:rPr>
    </w:lvl>
    <w:lvl w:ilvl="6">
      <w:start w:val="1"/>
      <w:numFmt w:val="decimal"/>
      <w:pStyle w:val="Heading7"/>
      <w:lvlText w:val="%1.%2.%3.%4.%5.%6.%7"/>
      <w:lvlJc w:val="left"/>
      <w:pPr>
        <w:ind w:left="0" w:firstLine="0"/>
      </w:pPr>
      <w:rPr>
        <w:rFonts w:cs="Times New Roman"/>
      </w:rPr>
    </w:lvl>
    <w:lvl w:ilvl="7">
      <w:start w:val="1"/>
      <w:numFmt w:val="decimal"/>
      <w:pStyle w:val="Heading8"/>
      <w:lvlText w:val="%1.%2.%3.%4.%5.%6.%7.%8"/>
      <w:lvlJc w:val="left"/>
      <w:pPr>
        <w:ind w:left="0" w:firstLine="0"/>
      </w:pPr>
      <w:rPr>
        <w:rFonts w:cs="Times New Roman"/>
      </w:rPr>
    </w:lvl>
    <w:lvl w:ilvl="8">
      <w:start w:val="1"/>
      <w:numFmt w:val="decimal"/>
      <w:pStyle w:val="Heading9"/>
      <w:lvlText w:val="%1.%2.%3.%4.%5.%6.%7.%8.%9"/>
      <w:lvlJc w:val="left"/>
      <w:pPr>
        <w:ind w:left="0" w:firstLine="0"/>
      </w:pPr>
      <w:rPr>
        <w:rFonts w:cs="Times New Roman"/>
      </w:rPr>
    </w:lvl>
  </w:abstractNum>
  <w:abstractNum w:abstractNumId="8" w15:restartNumberingAfterBreak="0">
    <w:nsid w:val="3ADC56DA"/>
    <w:multiLevelType w:val="hybridMultilevel"/>
    <w:tmpl w:val="75942238"/>
    <w:lvl w:ilvl="0" w:tplc="8C2846A8">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E7D78EF"/>
    <w:multiLevelType w:val="hybridMultilevel"/>
    <w:tmpl w:val="51AA6D0A"/>
    <w:lvl w:ilvl="0" w:tplc="23969108">
      <w:start w:val="1"/>
      <w:numFmt w:val="bullet"/>
      <w:lvlRestart w:val="0"/>
      <w:lvlText w:val="-"/>
      <w:lvlJc w:val="left"/>
      <w:pPr>
        <w:tabs>
          <w:tab w:val="num" w:pos="0"/>
        </w:tabs>
        <w:ind w:left="369" w:hanging="369"/>
      </w:pPr>
      <w:rPr>
        <w:rFonts w:ascii="Symbol" w:hAnsi="Symbol" w:hint="default"/>
        <w:b w:val="0"/>
        <w:i w:val="0"/>
        <w:sz w:val="22"/>
      </w:rPr>
    </w:lvl>
    <w:lvl w:ilvl="1" w:tplc="9BDE0DC2">
      <w:start w:val="1"/>
      <w:numFmt w:val="bullet"/>
      <w:lvlRestart w:val="0"/>
      <w:lvlText w:val=""/>
      <w:lvlJc w:val="left"/>
      <w:pPr>
        <w:tabs>
          <w:tab w:val="num" w:pos="1080"/>
        </w:tabs>
        <w:ind w:left="1449" w:hanging="369"/>
      </w:pPr>
      <w:rPr>
        <w:rFonts w:ascii="Symbol" w:hAnsi="Symbol"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FB53C5"/>
    <w:multiLevelType w:val="multilevel"/>
    <w:tmpl w:val="F7CE2B94"/>
    <w:lvl w:ilvl="0">
      <w:start w:val="1"/>
      <w:numFmt w:val="decimal"/>
      <w:lvlText w:val="%1."/>
      <w:lvlJc w:val="left"/>
      <w:pPr>
        <w:ind w:left="720" w:firstLine="0"/>
      </w:pPr>
      <w:rPr>
        <w:rFonts w:cs="Times New Roman"/>
        <w:i w:val="0"/>
        <w:iCs w:val="0"/>
      </w:rPr>
    </w:lvl>
    <w:lvl w:ilvl="1">
      <w:start w:val="1"/>
      <w:numFmt w:val="decimal"/>
      <w:lvlText w:val="%1.%2"/>
      <w:lvlJc w:val="left"/>
      <w:pPr>
        <w:ind w:left="1080" w:firstLine="0"/>
      </w:pPr>
      <w:rPr>
        <w:rFonts w:cs="Times New Roman"/>
      </w:rPr>
    </w:lvl>
    <w:lvl w:ilvl="2">
      <w:start w:val="1"/>
      <w:numFmt w:val="decimal"/>
      <w:lvlText w:val="%1.%2.%3"/>
      <w:lvlJc w:val="left"/>
      <w:pPr>
        <w:ind w:left="1440" w:firstLine="0"/>
      </w:pPr>
      <w:rPr>
        <w:rFonts w:cs="Times New Roman"/>
      </w:rPr>
    </w:lvl>
    <w:lvl w:ilvl="3">
      <w:start w:val="1"/>
      <w:numFmt w:val="decimal"/>
      <w:lvlText w:val="%1.%2.%3.%4"/>
      <w:lvlJc w:val="left"/>
      <w:pPr>
        <w:ind w:left="1800" w:firstLine="0"/>
      </w:pPr>
      <w:rPr>
        <w:rFonts w:cs="Times New Roman"/>
      </w:rPr>
    </w:lvl>
    <w:lvl w:ilvl="4">
      <w:start w:val="1"/>
      <w:numFmt w:val="decimal"/>
      <w:lvlText w:val="%1.%2.%3.%4.%5"/>
      <w:lvlJc w:val="left"/>
      <w:pPr>
        <w:ind w:left="2160" w:firstLine="0"/>
      </w:pPr>
      <w:rPr>
        <w:rFonts w:cs="Times New Roman"/>
      </w:rPr>
    </w:lvl>
    <w:lvl w:ilvl="5">
      <w:start w:val="1"/>
      <w:numFmt w:val="decimal"/>
      <w:lvlText w:val="%1.%2.%3.%4.%5.%6"/>
      <w:lvlJc w:val="left"/>
      <w:pPr>
        <w:ind w:left="2520" w:firstLine="0"/>
      </w:pPr>
      <w:rPr>
        <w:rFonts w:cs="Times New Roman"/>
      </w:rPr>
    </w:lvl>
    <w:lvl w:ilvl="6">
      <w:start w:val="1"/>
      <w:numFmt w:val="decimal"/>
      <w:lvlText w:val="%1.%2.%3.%4.%5.%6.%7"/>
      <w:lvlJc w:val="left"/>
      <w:pPr>
        <w:ind w:left="2880" w:firstLine="0"/>
      </w:pPr>
      <w:rPr>
        <w:rFonts w:cs="Times New Roman"/>
      </w:rPr>
    </w:lvl>
    <w:lvl w:ilvl="7">
      <w:start w:val="1"/>
      <w:numFmt w:val="decimal"/>
      <w:lvlText w:val="%1.%2.%3.%4.%5.%6.%7.%8"/>
      <w:lvlJc w:val="left"/>
      <w:pPr>
        <w:ind w:left="3240" w:firstLine="0"/>
      </w:pPr>
      <w:rPr>
        <w:rFonts w:cs="Times New Roman"/>
      </w:rPr>
    </w:lvl>
    <w:lvl w:ilvl="8">
      <w:start w:val="1"/>
      <w:numFmt w:val="decimal"/>
      <w:lvlText w:val="%1.%2.%3.%4.%5.%6.%7.%8.%9"/>
      <w:lvlJc w:val="left"/>
      <w:pPr>
        <w:ind w:left="3600" w:firstLine="0"/>
      </w:pPr>
      <w:rPr>
        <w:rFonts w:cs="Times New Roman"/>
      </w:rPr>
    </w:lvl>
  </w:abstractNum>
  <w:abstractNum w:abstractNumId="11" w15:restartNumberingAfterBreak="0">
    <w:nsid w:val="40357B7A"/>
    <w:multiLevelType w:val="hybridMultilevel"/>
    <w:tmpl w:val="51AA6D0A"/>
    <w:lvl w:ilvl="0" w:tplc="8BFAA160">
      <w:start w:val="1"/>
      <w:numFmt w:val="bullet"/>
      <w:lvlRestart w:val="0"/>
      <w:lvlText w:val="-"/>
      <w:lvlJc w:val="left"/>
      <w:pPr>
        <w:tabs>
          <w:tab w:val="num" w:pos="0"/>
        </w:tabs>
        <w:ind w:left="369" w:hanging="369"/>
      </w:pPr>
      <w:rPr>
        <w:rFonts w:ascii="Symbol" w:hAnsi="Symbol" w:hint="default"/>
        <w:b w:val="0"/>
        <w:i w:val="0"/>
        <w:sz w:val="22"/>
      </w:rPr>
    </w:lvl>
    <w:lvl w:ilvl="1" w:tplc="9BDE0DC2">
      <w:start w:val="1"/>
      <w:numFmt w:val="bullet"/>
      <w:lvlRestart w:val="0"/>
      <w:lvlText w:val=""/>
      <w:lvlJc w:val="left"/>
      <w:pPr>
        <w:tabs>
          <w:tab w:val="num" w:pos="1080"/>
        </w:tabs>
        <w:ind w:left="1449" w:hanging="369"/>
      </w:pPr>
      <w:rPr>
        <w:rFonts w:ascii="Symbol" w:hAnsi="Symbol"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6663C3"/>
    <w:multiLevelType w:val="hybridMultilevel"/>
    <w:tmpl w:val="98766BA6"/>
    <w:lvl w:ilvl="0" w:tplc="16D43B42">
      <w:start w:val="1"/>
      <w:numFmt w:val="decimal"/>
      <w:lvlText w:val="(%1)"/>
      <w:lvlJc w:val="left"/>
      <w:pPr>
        <w:ind w:left="720" w:hanging="360"/>
      </w:pPr>
      <w:rPr>
        <w:rFonts w:ascii="Times New Roman" w:eastAsiaTheme="minorHAnsi" w:hAnsi="Times New Roman" w:cs="Times New Roman"/>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09078E5"/>
    <w:multiLevelType w:val="hybridMultilevel"/>
    <w:tmpl w:val="9170EAE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10"/>
  </w:num>
  <w:num w:numId="3">
    <w:abstractNumId w:val="2"/>
  </w:num>
  <w:num w:numId="4">
    <w:abstractNumId w:val="0"/>
  </w:num>
  <w:num w:numId="5">
    <w:abstractNumId w:val="8"/>
  </w:num>
  <w:num w:numId="6">
    <w:abstractNumId w:val="6"/>
  </w:num>
  <w:num w:numId="7">
    <w:abstractNumId w:val="5"/>
  </w:num>
  <w:num w:numId="8">
    <w:abstractNumId w:val="3"/>
  </w:num>
  <w:num w:numId="9">
    <w:abstractNumId w:val="4"/>
  </w:num>
  <w:num w:numId="10">
    <w:abstractNumId w:val="12"/>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lang="nl-BE" w:vendorID="64" w:dllVersion="131078" w:nlCheck="1" w:checkStyle="0" w:appName="MSWord"/>
  <w:activeWritingStyle w:lang="en-GB" w:vendorID="64" w:dllVersion="131078" w:nlCheck="1" w:checkStyle="0" w:appName="MSWord"/>
  <w:activeWritingStyle w:lang="en-US" w:vendorID="64" w:dllVersion="131078" w:nlCheck="1" w:checkStyle="0" w:appName="MSWord"/>
  <w:activeWritingStyle w:lang="nl-NL" w:vendorID="64" w:dllVersion="131078" w:nlCheck="1" w:checkStyle="0" w:appName="MSWord"/>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3276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603"/>
    <w:rsid w:val="000056F2"/>
    <w:rsid w:val="000064C2"/>
    <w:rsid w:val="000072F6"/>
    <w:rsid w:val="00012D89"/>
    <w:rsid w:val="000143B7"/>
    <w:rsid w:val="00016662"/>
    <w:rsid w:val="000219D6"/>
    <w:rsid w:val="00026A05"/>
    <w:rsid w:val="00037579"/>
    <w:rsid w:val="0004546F"/>
    <w:rsid w:val="0005053F"/>
    <w:rsid w:val="00067B4C"/>
    <w:rsid w:val="0007078E"/>
    <w:rsid w:val="000761F8"/>
    <w:rsid w:val="00086763"/>
    <w:rsid w:val="0009444E"/>
    <w:rsid w:val="000A0E4A"/>
    <w:rsid w:val="000A7E70"/>
    <w:rsid w:val="000B0173"/>
    <w:rsid w:val="000B5965"/>
    <w:rsid w:val="000B5D3C"/>
    <w:rsid w:val="000B6E53"/>
    <w:rsid w:val="000C247D"/>
    <w:rsid w:val="000F1761"/>
    <w:rsid w:val="000F3769"/>
    <w:rsid w:val="000F38E7"/>
    <w:rsid w:val="000F60A9"/>
    <w:rsid w:val="00106CF6"/>
    <w:rsid w:val="00111A0C"/>
    <w:rsid w:val="00125332"/>
    <w:rsid w:val="00125658"/>
    <w:rsid w:val="001275B5"/>
    <w:rsid w:val="001322EE"/>
    <w:rsid w:val="0013737E"/>
    <w:rsid w:val="001442D5"/>
    <w:rsid w:val="00153797"/>
    <w:rsid w:val="001574C3"/>
    <w:rsid w:val="00166554"/>
    <w:rsid w:val="001918EE"/>
    <w:rsid w:val="00197F09"/>
    <w:rsid w:val="001A2FB5"/>
    <w:rsid w:val="001C078E"/>
    <w:rsid w:val="001C0CA3"/>
    <w:rsid w:val="001C2624"/>
    <w:rsid w:val="001C6A53"/>
    <w:rsid w:val="001D171A"/>
    <w:rsid w:val="001D3584"/>
    <w:rsid w:val="001D6B16"/>
    <w:rsid w:val="001D769D"/>
    <w:rsid w:val="001E2E30"/>
    <w:rsid w:val="001F1972"/>
    <w:rsid w:val="001F25FA"/>
    <w:rsid w:val="001F3234"/>
    <w:rsid w:val="00202DF6"/>
    <w:rsid w:val="00207803"/>
    <w:rsid w:val="002126A1"/>
    <w:rsid w:val="00230239"/>
    <w:rsid w:val="00236574"/>
    <w:rsid w:val="00246D6B"/>
    <w:rsid w:val="00251D9F"/>
    <w:rsid w:val="00262D2D"/>
    <w:rsid w:val="00270C78"/>
    <w:rsid w:val="00273750"/>
    <w:rsid w:val="00276468"/>
    <w:rsid w:val="002836CD"/>
    <w:rsid w:val="00291259"/>
    <w:rsid w:val="002918A6"/>
    <w:rsid w:val="00293F6F"/>
    <w:rsid w:val="002965BE"/>
    <w:rsid w:val="002B6CF5"/>
    <w:rsid w:val="002B77F2"/>
    <w:rsid w:val="002B782B"/>
    <w:rsid w:val="002C0076"/>
    <w:rsid w:val="002C4878"/>
    <w:rsid w:val="002D1760"/>
    <w:rsid w:val="002F3EA7"/>
    <w:rsid w:val="002F4481"/>
    <w:rsid w:val="003145D8"/>
    <w:rsid w:val="00315665"/>
    <w:rsid w:val="00322589"/>
    <w:rsid w:val="00323013"/>
    <w:rsid w:val="00335666"/>
    <w:rsid w:val="003425A9"/>
    <w:rsid w:val="00347019"/>
    <w:rsid w:val="00350982"/>
    <w:rsid w:val="0035109F"/>
    <w:rsid w:val="00365BA3"/>
    <w:rsid w:val="00365E90"/>
    <w:rsid w:val="00367DEB"/>
    <w:rsid w:val="003709B3"/>
    <w:rsid w:val="00373508"/>
    <w:rsid w:val="003737FC"/>
    <w:rsid w:val="003776BA"/>
    <w:rsid w:val="00383391"/>
    <w:rsid w:val="003851AC"/>
    <w:rsid w:val="003A29F0"/>
    <w:rsid w:val="003B242C"/>
    <w:rsid w:val="003C0F11"/>
    <w:rsid w:val="003C69ED"/>
    <w:rsid w:val="003D0B3E"/>
    <w:rsid w:val="003D5530"/>
    <w:rsid w:val="003E40C4"/>
    <w:rsid w:val="003E6552"/>
    <w:rsid w:val="003F0383"/>
    <w:rsid w:val="004124CA"/>
    <w:rsid w:val="0041397B"/>
    <w:rsid w:val="00420C31"/>
    <w:rsid w:val="004278BF"/>
    <w:rsid w:val="004408A4"/>
    <w:rsid w:val="00450E1E"/>
    <w:rsid w:val="00451253"/>
    <w:rsid w:val="00452FEA"/>
    <w:rsid w:val="0047056B"/>
    <w:rsid w:val="00477957"/>
    <w:rsid w:val="0048324A"/>
    <w:rsid w:val="00486309"/>
    <w:rsid w:val="0049634E"/>
    <w:rsid w:val="004A5014"/>
    <w:rsid w:val="004A67E7"/>
    <w:rsid w:val="004B056B"/>
    <w:rsid w:val="004B45EF"/>
    <w:rsid w:val="004B531D"/>
    <w:rsid w:val="004C1246"/>
    <w:rsid w:val="004D4A3E"/>
    <w:rsid w:val="004D7AFF"/>
    <w:rsid w:val="004D7BD6"/>
    <w:rsid w:val="004E26C6"/>
    <w:rsid w:val="004F60D4"/>
    <w:rsid w:val="00503D0F"/>
    <w:rsid w:val="00506C2E"/>
    <w:rsid w:val="00514BDA"/>
    <w:rsid w:val="005215F9"/>
    <w:rsid w:val="00522F09"/>
    <w:rsid w:val="005233EE"/>
    <w:rsid w:val="0052419C"/>
    <w:rsid w:val="0053751D"/>
    <w:rsid w:val="00551E5C"/>
    <w:rsid w:val="005549A8"/>
    <w:rsid w:val="00591B50"/>
    <w:rsid w:val="005A35ED"/>
    <w:rsid w:val="005A780D"/>
    <w:rsid w:val="005B0BA0"/>
    <w:rsid w:val="005B1C15"/>
    <w:rsid w:val="005B5F7A"/>
    <w:rsid w:val="005C3933"/>
    <w:rsid w:val="005C3DD2"/>
    <w:rsid w:val="005D2A9C"/>
    <w:rsid w:val="005F0FD4"/>
    <w:rsid w:val="00605D4B"/>
    <w:rsid w:val="00610E2A"/>
    <w:rsid w:val="00612628"/>
    <w:rsid w:val="00613669"/>
    <w:rsid w:val="00625487"/>
    <w:rsid w:val="00630892"/>
    <w:rsid w:val="006328F7"/>
    <w:rsid w:val="00634F22"/>
    <w:rsid w:val="006373BB"/>
    <w:rsid w:val="0064194C"/>
    <w:rsid w:val="00644723"/>
    <w:rsid w:val="00645AB0"/>
    <w:rsid w:val="00650603"/>
    <w:rsid w:val="00652CA7"/>
    <w:rsid w:val="0065443D"/>
    <w:rsid w:val="00656159"/>
    <w:rsid w:val="00656324"/>
    <w:rsid w:val="0065702F"/>
    <w:rsid w:val="00661557"/>
    <w:rsid w:val="00661C59"/>
    <w:rsid w:val="00673F28"/>
    <w:rsid w:val="0067733D"/>
    <w:rsid w:val="006818C8"/>
    <w:rsid w:val="00690318"/>
    <w:rsid w:val="00693E30"/>
    <w:rsid w:val="006A5842"/>
    <w:rsid w:val="006B1115"/>
    <w:rsid w:val="006B31D5"/>
    <w:rsid w:val="006B333E"/>
    <w:rsid w:val="006B46C9"/>
    <w:rsid w:val="006C478B"/>
    <w:rsid w:val="006D54C0"/>
    <w:rsid w:val="006E4667"/>
    <w:rsid w:val="006E7BBB"/>
    <w:rsid w:val="006E7C50"/>
    <w:rsid w:val="006F4EAB"/>
    <w:rsid w:val="006F69EA"/>
    <w:rsid w:val="007143AF"/>
    <w:rsid w:val="00716BAE"/>
    <w:rsid w:val="007177D6"/>
    <w:rsid w:val="00720616"/>
    <w:rsid w:val="0074133E"/>
    <w:rsid w:val="007443A0"/>
    <w:rsid w:val="00763CE6"/>
    <w:rsid w:val="007703E6"/>
    <w:rsid w:val="007761CE"/>
    <w:rsid w:val="00791EB7"/>
    <w:rsid w:val="00793338"/>
    <w:rsid w:val="007C2ACF"/>
    <w:rsid w:val="007C37D3"/>
    <w:rsid w:val="007D3C18"/>
    <w:rsid w:val="007D5717"/>
    <w:rsid w:val="007D6385"/>
    <w:rsid w:val="007D66E8"/>
    <w:rsid w:val="007E1D96"/>
    <w:rsid w:val="007E7239"/>
    <w:rsid w:val="007F25C6"/>
    <w:rsid w:val="008013A9"/>
    <w:rsid w:val="00803E50"/>
    <w:rsid w:val="0080686E"/>
    <w:rsid w:val="008108C3"/>
    <w:rsid w:val="00815D81"/>
    <w:rsid w:val="0083628E"/>
    <w:rsid w:val="00836B60"/>
    <w:rsid w:val="00855026"/>
    <w:rsid w:val="0085602B"/>
    <w:rsid w:val="008562E9"/>
    <w:rsid w:val="008571FD"/>
    <w:rsid w:val="00863180"/>
    <w:rsid w:val="008640A9"/>
    <w:rsid w:val="00870777"/>
    <w:rsid w:val="00873A01"/>
    <w:rsid w:val="008763A4"/>
    <w:rsid w:val="00882EBD"/>
    <w:rsid w:val="0088491C"/>
    <w:rsid w:val="00885774"/>
    <w:rsid w:val="008974C2"/>
    <w:rsid w:val="008A109F"/>
    <w:rsid w:val="008A4995"/>
    <w:rsid w:val="008B0025"/>
    <w:rsid w:val="008B77CA"/>
    <w:rsid w:val="008D306A"/>
    <w:rsid w:val="008E2B89"/>
    <w:rsid w:val="0090149B"/>
    <w:rsid w:val="00902820"/>
    <w:rsid w:val="00902D70"/>
    <w:rsid w:val="009056C1"/>
    <w:rsid w:val="00930938"/>
    <w:rsid w:val="00944306"/>
    <w:rsid w:val="00951CD9"/>
    <w:rsid w:val="00952509"/>
    <w:rsid w:val="00957C04"/>
    <w:rsid w:val="00966CD5"/>
    <w:rsid w:val="009749D0"/>
    <w:rsid w:val="00974BE3"/>
    <w:rsid w:val="00977765"/>
    <w:rsid w:val="009844D5"/>
    <w:rsid w:val="00990C0F"/>
    <w:rsid w:val="00994207"/>
    <w:rsid w:val="009973B0"/>
    <w:rsid w:val="009B06C3"/>
    <w:rsid w:val="009C1502"/>
    <w:rsid w:val="009C3CAC"/>
    <w:rsid w:val="009C5B0C"/>
    <w:rsid w:val="009F2CE1"/>
    <w:rsid w:val="009F7E24"/>
    <w:rsid w:val="00A06986"/>
    <w:rsid w:val="00A154E6"/>
    <w:rsid w:val="00A2631B"/>
    <w:rsid w:val="00A35F10"/>
    <w:rsid w:val="00A37728"/>
    <w:rsid w:val="00A50700"/>
    <w:rsid w:val="00A61B8E"/>
    <w:rsid w:val="00A75166"/>
    <w:rsid w:val="00A76C4B"/>
    <w:rsid w:val="00A81550"/>
    <w:rsid w:val="00A8358E"/>
    <w:rsid w:val="00A86096"/>
    <w:rsid w:val="00A8644D"/>
    <w:rsid w:val="00A87471"/>
    <w:rsid w:val="00A90D1A"/>
    <w:rsid w:val="00AB1765"/>
    <w:rsid w:val="00AC769D"/>
    <w:rsid w:val="00AD5255"/>
    <w:rsid w:val="00AD7338"/>
    <w:rsid w:val="00AE1E10"/>
    <w:rsid w:val="00AE3DEE"/>
    <w:rsid w:val="00AF02A1"/>
    <w:rsid w:val="00B1188E"/>
    <w:rsid w:val="00B139F2"/>
    <w:rsid w:val="00B15C90"/>
    <w:rsid w:val="00B218E4"/>
    <w:rsid w:val="00B21E59"/>
    <w:rsid w:val="00B22AF7"/>
    <w:rsid w:val="00B3137A"/>
    <w:rsid w:val="00B32705"/>
    <w:rsid w:val="00B33118"/>
    <w:rsid w:val="00B34544"/>
    <w:rsid w:val="00B35E50"/>
    <w:rsid w:val="00B36902"/>
    <w:rsid w:val="00B372F4"/>
    <w:rsid w:val="00B44530"/>
    <w:rsid w:val="00B45523"/>
    <w:rsid w:val="00B60027"/>
    <w:rsid w:val="00B63565"/>
    <w:rsid w:val="00B66E95"/>
    <w:rsid w:val="00B75770"/>
    <w:rsid w:val="00B75DD7"/>
    <w:rsid w:val="00B77683"/>
    <w:rsid w:val="00B8445B"/>
    <w:rsid w:val="00B84BEA"/>
    <w:rsid w:val="00B90373"/>
    <w:rsid w:val="00B94AF9"/>
    <w:rsid w:val="00BA4A9A"/>
    <w:rsid w:val="00BA72EB"/>
    <w:rsid w:val="00BB2693"/>
    <w:rsid w:val="00BB2DB0"/>
    <w:rsid w:val="00BB4C87"/>
    <w:rsid w:val="00BC7AC1"/>
    <w:rsid w:val="00BD0FCA"/>
    <w:rsid w:val="00BE22AB"/>
    <w:rsid w:val="00BE6E86"/>
    <w:rsid w:val="00BF17B6"/>
    <w:rsid w:val="00BF470E"/>
    <w:rsid w:val="00BF7DD1"/>
    <w:rsid w:val="00C05097"/>
    <w:rsid w:val="00C11B55"/>
    <w:rsid w:val="00C12075"/>
    <w:rsid w:val="00C32659"/>
    <w:rsid w:val="00C4128E"/>
    <w:rsid w:val="00C57039"/>
    <w:rsid w:val="00C651D5"/>
    <w:rsid w:val="00C653E6"/>
    <w:rsid w:val="00C70C51"/>
    <w:rsid w:val="00C7128B"/>
    <w:rsid w:val="00C867F9"/>
    <w:rsid w:val="00C95E5B"/>
    <w:rsid w:val="00CA3EE7"/>
    <w:rsid w:val="00CB663D"/>
    <w:rsid w:val="00CC63B6"/>
    <w:rsid w:val="00CD1D65"/>
    <w:rsid w:val="00CD432A"/>
    <w:rsid w:val="00CD4881"/>
    <w:rsid w:val="00CF01A3"/>
    <w:rsid w:val="00CF3EBA"/>
    <w:rsid w:val="00CF55A6"/>
    <w:rsid w:val="00D0091E"/>
    <w:rsid w:val="00D06A69"/>
    <w:rsid w:val="00D10A90"/>
    <w:rsid w:val="00D174EE"/>
    <w:rsid w:val="00D31DFE"/>
    <w:rsid w:val="00D43136"/>
    <w:rsid w:val="00D7298B"/>
    <w:rsid w:val="00D748C9"/>
    <w:rsid w:val="00D86CA1"/>
    <w:rsid w:val="00D92813"/>
    <w:rsid w:val="00D96352"/>
    <w:rsid w:val="00DA5ABA"/>
    <w:rsid w:val="00DC0087"/>
    <w:rsid w:val="00DC1C8A"/>
    <w:rsid w:val="00DC53E6"/>
    <w:rsid w:val="00DD535F"/>
    <w:rsid w:val="00DD71DA"/>
    <w:rsid w:val="00DE10B1"/>
    <w:rsid w:val="00DE385D"/>
    <w:rsid w:val="00DF486E"/>
    <w:rsid w:val="00E029C7"/>
    <w:rsid w:val="00E14C09"/>
    <w:rsid w:val="00E16CEE"/>
    <w:rsid w:val="00E23EC8"/>
    <w:rsid w:val="00E278CB"/>
    <w:rsid w:val="00E35E84"/>
    <w:rsid w:val="00E428E4"/>
    <w:rsid w:val="00E434B7"/>
    <w:rsid w:val="00E45DFA"/>
    <w:rsid w:val="00E53D1D"/>
    <w:rsid w:val="00E605C8"/>
    <w:rsid w:val="00E6061E"/>
    <w:rsid w:val="00E61EAB"/>
    <w:rsid w:val="00E678E1"/>
    <w:rsid w:val="00E70B5E"/>
    <w:rsid w:val="00E74858"/>
    <w:rsid w:val="00E75888"/>
    <w:rsid w:val="00E76241"/>
    <w:rsid w:val="00EC1BC5"/>
    <w:rsid w:val="00ED3104"/>
    <w:rsid w:val="00ED3C54"/>
    <w:rsid w:val="00EE27F0"/>
    <w:rsid w:val="00EE78EF"/>
    <w:rsid w:val="00EF1820"/>
    <w:rsid w:val="00EF23B7"/>
    <w:rsid w:val="00F01416"/>
    <w:rsid w:val="00F03F2D"/>
    <w:rsid w:val="00F052D8"/>
    <w:rsid w:val="00F071D6"/>
    <w:rsid w:val="00F07228"/>
    <w:rsid w:val="00F11DF9"/>
    <w:rsid w:val="00F12B08"/>
    <w:rsid w:val="00F149A1"/>
    <w:rsid w:val="00F275D7"/>
    <w:rsid w:val="00F30FA7"/>
    <w:rsid w:val="00F352C4"/>
    <w:rsid w:val="00F40BD5"/>
    <w:rsid w:val="00F46051"/>
    <w:rsid w:val="00F76B3E"/>
    <w:rsid w:val="00F81136"/>
    <w:rsid w:val="00F97B51"/>
    <w:rsid w:val="00FA265E"/>
    <w:rsid w:val="00FA5A56"/>
    <w:rsid w:val="00FB6318"/>
    <w:rsid w:val="00FD6A44"/>
    <w:rsid w:val="00FE4D89"/>
    <w:rsid w:val="00FF4CDE"/>
    <w:rsid w:val="00FF6686"/>
  </w:rsids>
  <m:mathPr>
    <m:mathFont m:val="Cambria Math"/>
    <m:brkBin m:val="before"/>
    <m:brkBinSub m:val="--"/>
    <m:smallFrac m:val="0"/>
    <m:dispDef/>
    <m:lMargin m:val="0"/>
    <m:rMargin m:val="0"/>
    <m:defJc m:val="centerGroup"/>
    <m:wrapIndent m:val="1440"/>
    <m:intLim m:val="subSup"/>
    <m:naryLim m:val="undOvr"/>
  </m:mathPr>
  <w:themeFontLang w:val="fr-BE" w:eastAsia="" w:bid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1041ECD"/>
  <w15:docId w15:val="{205A2AAC-4C8E-4606-943F-BAF03D79157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fr-B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E17"/>
    <w:pPr>
      <w:spacing w:line="288" w:lineRule="auto"/>
      <w:jc w:val="both"/>
      <w:textAlignment w:val="baseline"/>
    </w:pPr>
    <w:rPr>
      <w:sz w:val="22"/>
      <w:lang w:eastAsia="en-US"/>
    </w:rPr>
  </w:style>
  <w:style w:type="paragraph" w:styleId="Heading1">
    <w:name w:val="heading 1"/>
    <w:basedOn w:val="Normal"/>
    <w:next w:val="Normal"/>
    <w:link w:val="Heading1Char"/>
    <w:uiPriority w:val="9"/>
    <w:qFormat/>
    <w:rsid w:val="00847E17"/>
    <w:pPr>
      <w:numPr>
        <w:numId w:val="1"/>
      </w:numPr>
      <w:ind w:left="720" w:hanging="720"/>
      <w:outlineLvl w:val="0"/>
    </w:pPr>
    <w:rPr>
      <w:kern w:val="2"/>
    </w:rPr>
  </w:style>
  <w:style w:type="paragraph" w:styleId="Heading2">
    <w:name w:val="heading 2"/>
    <w:basedOn w:val="Normal"/>
    <w:next w:val="Normal"/>
    <w:link w:val="Heading2Char"/>
    <w:uiPriority w:val="9"/>
    <w:qFormat/>
    <w:rsid w:val="00847E17"/>
    <w:pPr>
      <w:numPr>
        <w:ilvl w:val="1"/>
        <w:numId w:val="1"/>
      </w:numPr>
      <w:ind w:left="720" w:hanging="720"/>
      <w:outlineLvl w:val="1"/>
    </w:pPr>
  </w:style>
  <w:style w:type="paragraph" w:styleId="Heading3">
    <w:name w:val="heading 3"/>
    <w:basedOn w:val="Normal"/>
    <w:next w:val="Normal"/>
    <w:link w:val="Heading3Char"/>
    <w:uiPriority w:val="9"/>
    <w:qFormat/>
    <w:rsid w:val="00847E17"/>
    <w:pPr>
      <w:numPr>
        <w:ilvl w:val="2"/>
        <w:numId w:val="1"/>
      </w:numPr>
      <w:ind w:left="720" w:hanging="720"/>
      <w:outlineLvl w:val="2"/>
    </w:pPr>
  </w:style>
  <w:style w:type="paragraph" w:styleId="Heading4">
    <w:name w:val="heading 4"/>
    <w:basedOn w:val="Normal"/>
    <w:next w:val="Normal"/>
    <w:link w:val="Heading4Char"/>
    <w:uiPriority w:val="9"/>
    <w:qFormat/>
    <w:rsid w:val="00847E17"/>
    <w:pPr>
      <w:numPr>
        <w:ilvl w:val="3"/>
        <w:numId w:val="1"/>
      </w:numPr>
      <w:ind w:left="720" w:hanging="720"/>
      <w:outlineLvl w:val="3"/>
    </w:pPr>
  </w:style>
  <w:style w:type="paragraph" w:styleId="Heading5">
    <w:name w:val="heading 5"/>
    <w:basedOn w:val="Normal"/>
    <w:next w:val="Normal"/>
    <w:link w:val="Heading5Char"/>
    <w:uiPriority w:val="9"/>
    <w:qFormat/>
    <w:rsid w:val="00847E17"/>
    <w:pPr>
      <w:numPr>
        <w:ilvl w:val="4"/>
        <w:numId w:val="1"/>
      </w:numPr>
      <w:ind w:left="720" w:hanging="720"/>
      <w:outlineLvl w:val="4"/>
    </w:pPr>
  </w:style>
  <w:style w:type="paragraph" w:styleId="Heading6">
    <w:name w:val="heading 6"/>
    <w:basedOn w:val="Normal"/>
    <w:next w:val="Normal"/>
    <w:link w:val="Heading6Char"/>
    <w:uiPriority w:val="9"/>
    <w:qFormat/>
    <w:rsid w:val="00847E17"/>
    <w:pPr>
      <w:numPr>
        <w:ilvl w:val="5"/>
        <w:numId w:val="1"/>
      </w:numPr>
      <w:ind w:left="720" w:hanging="720"/>
      <w:outlineLvl w:val="5"/>
    </w:pPr>
  </w:style>
  <w:style w:type="paragraph" w:styleId="Heading7">
    <w:name w:val="heading 7"/>
    <w:basedOn w:val="Normal"/>
    <w:next w:val="Normal"/>
    <w:link w:val="Heading7Char"/>
    <w:uiPriority w:val="9"/>
    <w:qFormat/>
    <w:rsid w:val="00847E17"/>
    <w:pPr>
      <w:numPr>
        <w:ilvl w:val="6"/>
        <w:numId w:val="1"/>
      </w:numPr>
      <w:ind w:left="720" w:hanging="720"/>
      <w:outlineLvl w:val="6"/>
    </w:pPr>
  </w:style>
  <w:style w:type="paragraph" w:styleId="Heading8">
    <w:name w:val="heading 8"/>
    <w:basedOn w:val="Normal"/>
    <w:next w:val="Normal"/>
    <w:link w:val="Heading8Char"/>
    <w:uiPriority w:val="9"/>
    <w:qFormat/>
    <w:rsid w:val="00847E17"/>
    <w:pPr>
      <w:numPr>
        <w:ilvl w:val="7"/>
        <w:numId w:val="1"/>
      </w:numPr>
      <w:ind w:left="720" w:hanging="720"/>
      <w:outlineLvl w:val="7"/>
    </w:pPr>
  </w:style>
  <w:style w:type="paragraph" w:styleId="Heading9">
    <w:name w:val="heading 9"/>
    <w:basedOn w:val="Normal"/>
    <w:next w:val="Normal"/>
    <w:link w:val="Heading9Char"/>
    <w:uiPriority w:val="9"/>
    <w:qFormat/>
    <w:rsid w:val="00847E17"/>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9D66A8"/>
    <w:rPr>
      <w:rFonts w:asciiTheme="majorHAnsi" w:eastAsiaTheme="majorEastAsia" w:hAnsiTheme="majorHAnsi" w:cstheme="majorBidi"/>
      <w:b/>
      <w:bCs/>
      <w:color w:val="365F91" w:themeColor="accent1" w:themeShade="BF"/>
      <w:sz w:val="28"/>
      <w:szCs w:val="28"/>
      <w:lang w:val="nl-NL" w:eastAsia="en-US"/>
    </w:rPr>
  </w:style>
  <w:style w:type="character" w:customStyle="1" w:styleId="Heading2Char">
    <w:name w:val="Heading 2 Char"/>
    <w:basedOn w:val="DefaultParagraphFont"/>
    <w:link w:val="Heading2"/>
    <w:uiPriority w:val="9"/>
    <w:semiHidden/>
    <w:qFormat/>
    <w:rsid w:val="009D66A8"/>
    <w:rPr>
      <w:rFonts w:asciiTheme="majorHAnsi" w:eastAsiaTheme="majorEastAsia" w:hAnsiTheme="majorHAnsi" w:cstheme="majorBidi"/>
      <w:b/>
      <w:bCs/>
      <w:color w:val="4F81BD" w:themeColor="accent1"/>
      <w:sz w:val="26"/>
      <w:szCs w:val="26"/>
      <w:lang w:val="nl-NL" w:eastAsia="en-US"/>
    </w:rPr>
  </w:style>
  <w:style w:type="character" w:customStyle="1" w:styleId="Heading3Char">
    <w:name w:val="Heading 3 Char"/>
    <w:basedOn w:val="DefaultParagraphFont"/>
    <w:link w:val="Heading3"/>
    <w:uiPriority w:val="9"/>
    <w:semiHidden/>
    <w:qFormat/>
    <w:rsid w:val="009D66A8"/>
    <w:rPr>
      <w:rFonts w:asciiTheme="majorHAnsi" w:eastAsiaTheme="majorEastAsia" w:hAnsiTheme="majorHAnsi" w:cstheme="majorBidi"/>
      <w:b/>
      <w:bCs/>
      <w:color w:val="4F81BD" w:themeColor="accent1"/>
      <w:sz w:val="22"/>
      <w:lang w:val="nl-NL" w:eastAsia="en-US"/>
    </w:rPr>
  </w:style>
  <w:style w:type="character" w:customStyle="1" w:styleId="Heading4Char">
    <w:name w:val="Heading 4 Char"/>
    <w:basedOn w:val="DefaultParagraphFont"/>
    <w:link w:val="Heading4"/>
    <w:uiPriority w:val="9"/>
    <w:semiHidden/>
    <w:qFormat/>
    <w:rsid w:val="009D66A8"/>
    <w:rPr>
      <w:rFonts w:asciiTheme="majorHAnsi" w:eastAsiaTheme="majorEastAsia" w:hAnsiTheme="majorHAnsi" w:cstheme="majorBidi"/>
      <w:b/>
      <w:bCs/>
      <w:i/>
      <w:iCs/>
      <w:color w:val="4F81BD" w:themeColor="accent1"/>
      <w:sz w:val="22"/>
      <w:lang w:val="nl-NL" w:eastAsia="en-US"/>
    </w:rPr>
  </w:style>
  <w:style w:type="character" w:customStyle="1" w:styleId="Heading5Char">
    <w:name w:val="Heading 5 Char"/>
    <w:basedOn w:val="DefaultParagraphFont"/>
    <w:link w:val="Heading5"/>
    <w:uiPriority w:val="9"/>
    <w:semiHidden/>
    <w:qFormat/>
    <w:rsid w:val="009D66A8"/>
    <w:rPr>
      <w:rFonts w:asciiTheme="majorHAnsi" w:eastAsiaTheme="majorEastAsia" w:hAnsiTheme="majorHAnsi" w:cstheme="majorBidi"/>
      <w:color w:val="243F60" w:themeColor="accent1" w:themeShade="7F"/>
      <w:sz w:val="22"/>
      <w:lang w:val="nl-NL" w:eastAsia="en-US"/>
    </w:rPr>
  </w:style>
  <w:style w:type="character" w:customStyle="1" w:styleId="Heading6Char">
    <w:name w:val="Heading 6 Char"/>
    <w:basedOn w:val="DefaultParagraphFont"/>
    <w:link w:val="Heading6"/>
    <w:uiPriority w:val="9"/>
    <w:semiHidden/>
    <w:qFormat/>
    <w:rsid w:val="009D66A8"/>
    <w:rPr>
      <w:rFonts w:asciiTheme="majorHAnsi" w:eastAsiaTheme="majorEastAsia" w:hAnsiTheme="majorHAnsi" w:cstheme="majorBidi"/>
      <w:i/>
      <w:iCs/>
      <w:color w:val="243F60" w:themeColor="accent1" w:themeShade="7F"/>
      <w:sz w:val="22"/>
      <w:lang w:val="nl-NL" w:eastAsia="en-US"/>
    </w:rPr>
  </w:style>
  <w:style w:type="character" w:customStyle="1" w:styleId="Heading7Char">
    <w:name w:val="Heading 7 Char"/>
    <w:basedOn w:val="DefaultParagraphFont"/>
    <w:link w:val="Heading7"/>
    <w:uiPriority w:val="9"/>
    <w:semiHidden/>
    <w:qFormat/>
    <w:rsid w:val="009D66A8"/>
    <w:rPr>
      <w:rFonts w:asciiTheme="majorHAnsi" w:eastAsiaTheme="majorEastAsia" w:hAnsiTheme="majorHAnsi" w:cstheme="majorBidi"/>
      <w:i/>
      <w:iCs/>
      <w:color w:val="404040" w:themeColor="text1" w:themeTint="BF"/>
      <w:sz w:val="22"/>
      <w:lang w:val="nl-NL" w:eastAsia="en-US"/>
    </w:rPr>
  </w:style>
  <w:style w:type="character" w:customStyle="1" w:styleId="Heading8Char">
    <w:name w:val="Heading 8 Char"/>
    <w:basedOn w:val="DefaultParagraphFont"/>
    <w:link w:val="Heading8"/>
    <w:uiPriority w:val="9"/>
    <w:semiHidden/>
    <w:qFormat/>
    <w:rsid w:val="009D66A8"/>
    <w:rPr>
      <w:rFonts w:asciiTheme="majorHAnsi" w:eastAsiaTheme="majorEastAsia" w:hAnsiTheme="majorHAnsi" w:cstheme="majorBidi"/>
      <w:color w:val="404040" w:themeColor="text1" w:themeTint="BF"/>
      <w:lang w:val="nl-NL" w:eastAsia="en-US"/>
    </w:rPr>
  </w:style>
  <w:style w:type="character" w:customStyle="1" w:styleId="Heading9Char">
    <w:name w:val="Heading 9 Char"/>
    <w:basedOn w:val="DefaultParagraphFont"/>
    <w:link w:val="Heading9"/>
    <w:uiPriority w:val="9"/>
    <w:semiHidden/>
    <w:qFormat/>
    <w:rsid w:val="009D66A8"/>
    <w:rPr>
      <w:rFonts w:asciiTheme="majorHAnsi" w:eastAsiaTheme="majorEastAsia" w:hAnsiTheme="majorHAnsi" w:cstheme="majorBidi"/>
      <w:i/>
      <w:iCs/>
      <w:color w:val="404040" w:themeColor="text1" w:themeTint="BF"/>
      <w:lang w:val="nl-NL" w:eastAsia="en-US"/>
    </w:rPr>
  </w:style>
  <w:style w:type="character" w:customStyle="1" w:styleId="FooterChar">
    <w:name w:val="Footer Char"/>
    <w:basedOn w:val="DefaultParagraphFont"/>
    <w:link w:val="Footer"/>
    <w:uiPriority w:val="99"/>
    <w:qFormat/>
    <w:rsid w:val="009D66A8"/>
    <w:rPr>
      <w:sz w:val="22"/>
      <w:lang w:eastAsia="en-US"/>
    </w:rPr>
  </w:style>
  <w:style w:type="character" w:customStyle="1" w:styleId="FootnoteTextChar">
    <w:name w:val="Footnote Text Char"/>
    <w:aliases w:val="Footnotetext Char,Footnotetext1 Char,ftx Char,Footnotetext2 Char,ftx1 Char,Footnotetext3 Char,ftx2 Char,Footnotetext4 Char,ftx3 Char,Footnotetext5 Char,ftx4 Char,Footnotetext6 Char,Footnotetext7 Char,Footnotetext8 Char,ftx5 Char"/>
    <w:basedOn w:val="DefaultParagraphFont"/>
    <w:link w:val="FootnoteText"/>
    <w:qFormat/>
    <w:rsid w:val="009D66A8"/>
    <w:rPr>
      <w:lang w:val="nl-NL" w:eastAsia="en-US"/>
    </w:rPr>
  </w:style>
  <w:style w:type="character" w:customStyle="1" w:styleId="HeaderChar">
    <w:name w:val="Header Char"/>
    <w:basedOn w:val="DefaultParagraphFont"/>
    <w:link w:val="Header"/>
    <w:uiPriority w:val="99"/>
    <w:qFormat/>
    <w:rsid w:val="009D66A8"/>
    <w:rPr>
      <w:sz w:val="22"/>
      <w:lang w:eastAsia="en-US"/>
    </w:rPr>
  </w:style>
  <w:style w:type="character" w:customStyle="1" w:styleId="InternetLink">
    <w:name w:val="Internet Link"/>
    <w:basedOn w:val="DefaultParagraphFont"/>
    <w:rPr>
      <w:color w:val="0000FF"/>
      <w:u w:val="single"/>
    </w:rPr>
  </w:style>
  <w:style w:type="character" w:customStyle="1" w:styleId="FootnoteCharacters">
    <w:name w:val="Footnote Characters"/>
    <w:basedOn w:val="DefaultParagraphFont"/>
    <w:qFormat/>
    <w:rsid w:val="00847E17"/>
    <w:rPr>
      <w:sz w:val="24"/>
      <w:vertAlign w:val="superscript"/>
    </w:rPr>
  </w:style>
  <w:style w:type="character" w:customStyle="1" w:styleId="FootnoteAnchor">
    <w:name w:val="Footnote Anchor"/>
    <w:rPr>
      <w:sz w:val="24"/>
      <w:vertAlign w:val="superscript"/>
    </w:rPr>
  </w:style>
  <w:style w:type="character" w:styleId="FollowedHyperlink">
    <w:name w:val="FollowedHyperlink"/>
    <w:basedOn w:val="DefaultParagraphFont"/>
    <w:uiPriority w:val="99"/>
    <w:qFormat/>
    <w:rPr>
      <w:color w:val="800080"/>
      <w:u w:val="single"/>
    </w:rPr>
  </w:style>
  <w:style w:type="character" w:customStyle="1" w:styleId="BalloonTextChar">
    <w:name w:val="Balloon Text Char"/>
    <w:basedOn w:val="DefaultParagraphFont"/>
    <w:link w:val="BalloonText"/>
    <w:qFormat/>
    <w:rsid w:val="00D46F0D"/>
    <w:rPr>
      <w:rFonts w:ascii="Tahoma" w:hAnsi="Tahoma" w:cs="Tahoma"/>
      <w:sz w:val="16"/>
      <w:szCs w:val="16"/>
      <w:lang w:val="nl-NL" w:eastAsia="en-US"/>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val="0"/>
      <w:i w:val="0"/>
      <w:sz w:val="22"/>
    </w:rPr>
  </w:style>
  <w:style w:type="character" w:customStyle="1" w:styleId="ListLabel11">
    <w:name w:val="ListLabel 11"/>
    <w:qFormat/>
    <w:rPr>
      <w:b w:val="0"/>
      <w:i w:val="0"/>
      <w:sz w:val="22"/>
    </w:rPr>
  </w:style>
  <w:style w:type="character" w:customStyle="1" w:styleId="ListLabel12">
    <w:name w:val="ListLabel 12"/>
    <w:qFormat/>
    <w:rPr>
      <w:b w:val="0"/>
      <w:i w:val="0"/>
      <w:sz w:val="22"/>
    </w:rPr>
  </w:style>
  <w:style w:type="character" w:customStyle="1" w:styleId="ListLabel13">
    <w:name w:val="ListLabel 13"/>
    <w:qFormat/>
    <w:rPr>
      <w:b w:val="0"/>
      <w:i w:val="0"/>
      <w:sz w:val="22"/>
    </w:rPr>
  </w:style>
  <w:style w:type="character" w:customStyle="1" w:styleId="ListLabel14">
    <w:name w:val="ListLabel 14"/>
    <w:qFormat/>
    <w:rPr>
      <w:b w:val="0"/>
      <w:i w:val="0"/>
      <w:sz w:val="22"/>
    </w:rPr>
  </w:style>
  <w:style w:type="character" w:customStyle="1" w:styleId="ListLabel15">
    <w:name w:val="ListLabel 15"/>
    <w:qFormat/>
    <w:rPr>
      <w:b w:val="0"/>
      <w:i w:val="0"/>
      <w:sz w:val="22"/>
    </w:rPr>
  </w:style>
  <w:style w:type="character" w:customStyle="1" w:styleId="ListLabel16">
    <w:name w:val="ListLabel 16"/>
    <w:qFormat/>
    <w:rPr>
      <w:b w:val="0"/>
      <w:i w:val="0"/>
      <w:sz w:val="22"/>
    </w:rPr>
  </w:style>
  <w:style w:type="character" w:customStyle="1" w:styleId="ListLabel17">
    <w:name w:val="ListLabel 17"/>
    <w:qFormat/>
    <w:rPr>
      <w:b w:val="0"/>
      <w:i w:val="0"/>
      <w:sz w:val="22"/>
    </w:rPr>
  </w:style>
  <w:style w:type="character" w:customStyle="1" w:styleId="ListLabel18">
    <w:name w:val="ListLabel 18"/>
    <w:qFormat/>
    <w:rPr>
      <w:b w:val="0"/>
      <w:i w:val="0"/>
      <w:sz w:val="22"/>
    </w:rPr>
  </w:style>
  <w:style w:type="character" w:customStyle="1" w:styleId="ListLabel19">
    <w:name w:val="ListLabel 19"/>
    <w:qFormat/>
    <w:rPr>
      <w:b w:val="0"/>
      <w:i w:val="0"/>
      <w:sz w:val="22"/>
    </w:rPr>
  </w:style>
  <w:style w:type="character" w:customStyle="1" w:styleId="ListLabel20">
    <w:name w:val="ListLabel 20"/>
    <w:qFormat/>
    <w:rPr>
      <w:b w:val="0"/>
      <w:i w:val="0"/>
      <w:sz w:val="22"/>
    </w:rPr>
  </w:style>
  <w:style w:type="character" w:customStyle="1" w:styleId="ListLabel21">
    <w:name w:val="ListLabel 21"/>
    <w:qFormat/>
    <w:rPr>
      <w:b w:val="0"/>
      <w:i w:val="0"/>
      <w:sz w:val="22"/>
    </w:rPr>
  </w:style>
  <w:style w:type="character" w:customStyle="1" w:styleId="ListLabel22">
    <w:name w:val="ListLabel 22"/>
    <w:qFormat/>
    <w:rPr>
      <w:b w:val="0"/>
      <w:i w:val="0"/>
      <w:sz w:val="22"/>
    </w:rPr>
  </w:style>
  <w:style w:type="character" w:customStyle="1" w:styleId="ListLabel23">
    <w:name w:val="ListLabel 23"/>
    <w:qFormat/>
    <w:rPr>
      <w:b/>
      <w:i w:val="0"/>
    </w:rPr>
  </w:style>
  <w:style w:type="character" w:customStyle="1" w:styleId="ListLabel24">
    <w:name w:val="ListLabel 24"/>
    <w:qFormat/>
    <w:rPr>
      <w:b/>
    </w:rPr>
  </w:style>
  <w:style w:type="character" w:customStyle="1" w:styleId="ListLabel25">
    <w:name w:val="ListLabel 25"/>
    <w:qFormat/>
    <w:rPr>
      <w:b w:val="0"/>
      <w:i w:val="0"/>
      <w:sz w:val="22"/>
    </w:rPr>
  </w:style>
  <w:style w:type="character" w:customStyle="1" w:styleId="ListLabel26">
    <w:name w:val="ListLabel 26"/>
    <w:qFormat/>
    <w:rPr>
      <w:b/>
      <w:i w:val="0"/>
    </w:rPr>
  </w:style>
  <w:style w:type="character" w:customStyle="1" w:styleId="ListLabel27">
    <w:name w:val="ListLabel 27"/>
    <w:qFormat/>
    <w:rPr>
      <w:b/>
    </w:rPr>
  </w:style>
  <w:style w:type="character" w:customStyle="1" w:styleId="ListLabel28">
    <w:name w:val="ListLabel 28"/>
    <w:qFormat/>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Footer">
    <w:name w:val="footer"/>
    <w:basedOn w:val="Normal"/>
    <w:link w:val="FooterChar"/>
    <w:uiPriority w:val="99"/>
    <w:rsid w:val="00847E17"/>
  </w:style>
  <w:style w:type="paragraph" w:styleId="FootnoteText">
    <w:name w:val="footnote text"/>
    <w:aliases w:val="Footnotetext,Footnotetext1,ftx,Footnotetext2,ftx1,Footnotetext3,ftx2,Footnotetext4,ftx3,Footnotetext5,ftx4,Footnotetext6,Footnotetext7,Footnotetext8,ftx5,Footnotetext11,Footnotetext21,ftx11,Footnotetext31,ftx21,Footnotetext41,ftx31,ftx41"/>
    <w:basedOn w:val="Normal"/>
    <w:link w:val="FootnoteTextChar"/>
    <w:qFormat/>
    <w:rsid w:val="00847E17"/>
    <w:pPr>
      <w:keepLines/>
      <w:spacing w:after="60" w:line="240" w:lineRule="auto"/>
      <w:ind w:left="720" w:hanging="720"/>
    </w:pPr>
    <w:rPr>
      <w:sz w:val="16"/>
    </w:rPr>
  </w:style>
  <w:style w:type="paragraph" w:styleId="Header">
    <w:name w:val="header"/>
    <w:basedOn w:val="Normal"/>
    <w:link w:val="HeaderChar"/>
    <w:uiPriority w:val="99"/>
    <w:rsid w:val="00847E17"/>
  </w:style>
  <w:style w:type="paragraph" w:customStyle="1" w:styleId="quotes">
    <w:name w:val="quotes"/>
    <w:basedOn w:val="Normal"/>
    <w:next w:val="Normal"/>
    <w:qFormat/>
    <w:rsid w:val="00847E17"/>
    <w:pPr>
      <w:ind w:left="720"/>
    </w:pPr>
    <w:rPr>
      <w:i/>
    </w:rPr>
  </w:style>
  <w:style w:type="paragraph" w:styleId="BalloonText">
    <w:name w:val="Balloon Text"/>
    <w:basedOn w:val="Normal"/>
    <w:link w:val="BalloonTextChar"/>
    <w:qFormat/>
    <w:rsid w:val="00D46F0D"/>
    <w:pPr>
      <w:spacing w:line="240" w:lineRule="auto"/>
    </w:pPr>
    <w:rPr>
      <w:rFonts w:ascii="Tahoma" w:hAnsi="Tahoma" w:cs="Tahoma"/>
      <w:sz w:val="16"/>
      <w:szCs w:val="16"/>
    </w:rPr>
  </w:style>
  <w:style w:type="paragraph" w:customStyle="1" w:styleId="LOGO">
    <w:name w:val="LOGO"/>
    <w:basedOn w:val="Normal"/>
    <w:qFormat/>
    <w:pPr>
      <w:jc w:val="center"/>
    </w:pPr>
    <w:rPr>
      <w:rFonts w:ascii="Arial" w:hAnsi="Arial"/>
      <w:b/>
      <w:i/>
      <w:sz w:val="20"/>
    </w:rPr>
  </w:style>
  <w:style w:type="paragraph" w:styleId="ListParagraph">
    <w:name w:val="List Paragraph"/>
    <w:aliases w:val="Dot pt,F5 List Paragraph,List Paragraph1,No Spacing1,List Paragraph Char Char Char,Indicator Text,Numbered Para 1,Bullet 1,Bullet Points,Párrafo de lista,MAIN CONTENT,Recommendation,List Paragraph2,Normal numbere,Colorful List - Accent 11"/>
    <w:basedOn w:val="Normal"/>
    <w:link w:val="ListParagraphChar"/>
    <w:uiPriority w:val="34"/>
    <w:qFormat/>
    <w:rsid w:val="00D53E04"/>
    <w:pPr>
      <w:overflowPunct w:val="0"/>
      <w:ind w:left="720"/>
      <w:contextualSpacing/>
      <w:textAlignment w:val="auto"/>
    </w:pPr>
    <w:rPr>
      <w:szCs w:val="22"/>
    </w:rPr>
  </w:style>
  <w:style w:type="paragraph" w:customStyle="1" w:styleId="FrameContents">
    <w:name w:val="Frame Contents"/>
    <w:basedOn w:val="Normal"/>
    <w:qFormat/>
  </w:style>
  <w:style w:type="character" w:styleId="FootnoteReference">
    <w:name w:val="footnote reference"/>
    <w:aliases w:val="Footnotemark,FR,Footnotemark1,Footnotemark2,FR1,Footnotemark3,FR2,Footnotemark4,FR3,Footnotemark5,FR4,Footnotemark6,Footnotemark7,Footnotemark8,FR5,Footnotemark11,Footnotemark21,FR11,Footnotemark31,FR21,Footnotemark41,FR31,FR41,F,FR6"/>
    <w:basedOn w:val="DefaultParagraphFont"/>
    <w:unhideWhenUsed/>
    <w:qFormat/>
    <w:rsid w:val="00815D81"/>
    <w:rPr>
      <w:vertAlign w:val="superscript"/>
    </w:rPr>
  </w:style>
  <w:style w:type="paragraph" w:styleId="CommentText">
    <w:name w:val="annotation text"/>
    <w:basedOn w:val="Normal"/>
    <w:link w:val="CommentTextChar"/>
    <w:uiPriority w:val="99"/>
    <w:semiHidden/>
    <w:unhideWhenUsed/>
    <w:rsid w:val="00815D81"/>
    <w:pPr>
      <w:spacing w:after="160" w:line="240" w:lineRule="auto"/>
      <w:jc w:val="left"/>
      <w:textAlignment w:val="auto"/>
    </w:pPr>
    <w:rPr>
      <w:rFonts w:asciiTheme="minorHAnsi" w:eastAsiaTheme="minorHAnsi" w:hAnsiTheme="minorHAnsi" w:cstheme="minorBidi"/>
      <w:sz w:val="20"/>
    </w:rPr>
  </w:style>
  <w:style w:type="character" w:customStyle="1" w:styleId="CommentTextChar">
    <w:name w:val="Comment Text Char"/>
    <w:basedOn w:val="DefaultParagraphFont"/>
    <w:link w:val="CommentText"/>
    <w:uiPriority w:val="99"/>
    <w:semiHidden/>
    <w:rsid w:val="00815D81"/>
    <w:rPr>
      <w:rFonts w:asciiTheme="minorHAnsi" w:eastAsiaTheme="minorHAnsi" w:hAnsiTheme="minorHAnsi" w:cstheme="minorBidi"/>
      <w:lang w:val="nl-NL" w:eastAsia="en-US"/>
    </w:rPr>
  </w:style>
  <w:style w:type="character" w:styleId="CommentReference">
    <w:name w:val="annotation reference"/>
    <w:basedOn w:val="DefaultParagraphFont"/>
    <w:uiPriority w:val="99"/>
    <w:semiHidden/>
    <w:unhideWhenUsed/>
    <w:rsid w:val="00815D81"/>
    <w:rPr>
      <w:sz w:val="16"/>
      <w:szCs w:val="16"/>
    </w:rPr>
  </w:style>
  <w:style w:type="paragraph" w:styleId="CommentSubject">
    <w:name w:val="annotation subject"/>
    <w:basedOn w:val="CommentText"/>
    <w:next w:val="CommentText"/>
    <w:link w:val="CommentSubjectChar"/>
    <w:semiHidden/>
    <w:unhideWhenUsed/>
    <w:rsid w:val="00246D6B"/>
    <w:pPr>
      <w:spacing w:after="0"/>
      <w:jc w:val="both"/>
      <w:textAlignment w:val="baseline"/>
    </w:pPr>
    <w:rPr>
      <w:rFonts w:ascii="Times New Roman" w:eastAsia="Times New Roman" w:hAnsi="Times New Roman" w:cs="Times New Roman"/>
      <w:b/>
      <w:bCs/>
    </w:rPr>
  </w:style>
  <w:style w:type="character" w:customStyle="1" w:styleId="CommentSubjectChar">
    <w:name w:val="Comment Subject Char"/>
    <w:basedOn w:val="CommentTextChar"/>
    <w:link w:val="CommentSubject"/>
    <w:semiHidden/>
    <w:rsid w:val="00246D6B"/>
    <w:rPr>
      <w:rFonts w:asciiTheme="minorHAnsi" w:eastAsiaTheme="minorHAnsi" w:hAnsiTheme="minorHAnsi" w:cstheme="minorBidi"/>
      <w:b/>
      <w:bCs/>
      <w:lang w:val="nl-NL" w:eastAsia="en-US"/>
    </w:rPr>
  </w:style>
  <w:style w:type="character" w:customStyle="1" w:styleId="ListParagraphChar">
    <w:name w:val="List Paragraph Char"/>
    <w:aliases w:val="Dot pt Char,F5 List Paragraph Char,List Paragraph1 Char,No Spacing1 Char,List Paragraph Char Char Char Char,Indicator Text Char,Numbered Para 1 Char,Bullet 1 Char,Bullet Points Char,Párrafo de lista Char,MAIN CONTENT Char"/>
    <w:basedOn w:val="DefaultParagraphFont"/>
    <w:link w:val="ListParagraph"/>
    <w:uiPriority w:val="34"/>
    <w:qFormat/>
    <w:rsid w:val="00656324"/>
    <w:rPr>
      <w:sz w:val="22"/>
      <w:szCs w:val="22"/>
      <w:lang w:eastAsia="en-US"/>
    </w:rPr>
  </w:style>
  <w:style w:type="paragraph" w:styleId="Revision">
    <w:name w:val="Revision"/>
    <w:hidden/>
    <w:uiPriority w:val="99"/>
    <w:semiHidden/>
    <w:rsid w:val="005B0BA0"/>
    <w:rPr>
      <w:sz w:val="22"/>
      <w:lang w:eastAsia="en-US"/>
    </w:rPr>
  </w:style>
  <w:style w:type="character" w:styleId="Hyperlink">
    <w:name w:val="Hyperlink"/>
    <w:basedOn w:val="DefaultParagraphFont"/>
    <w:uiPriority w:val="99"/>
    <w:rsid w:val="004A5014"/>
    <w:rPr>
      <w:color w:val="0000FF"/>
      <w:u w:val="single"/>
    </w:rPr>
  </w:style>
  <w:style w:type="table" w:styleId="TableGrid">
    <w:name w:val="Table Grid"/>
    <w:basedOn w:val="TableNormal"/>
    <w:rsid w:val="000F17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5761">
      <w:bodyDiv w:val="1"/>
      <w:marLeft w:val="0"/>
      <w:marRight w:val="0"/>
      <w:marTop w:val="0"/>
      <w:marBottom w:val="0"/>
      <w:divBdr>
        <w:top w:val="none" w:sz="0" w:space="0" w:color="auto"/>
        <w:left w:val="none" w:sz="0" w:space="0" w:color="auto"/>
        <w:bottom w:val="none" w:sz="0" w:space="0" w:color="auto"/>
        <w:right w:val="none" w:sz="0" w:space="0" w:color="auto"/>
      </w:divBdr>
    </w:div>
    <w:div w:id="356665428">
      <w:bodyDiv w:val="1"/>
      <w:marLeft w:val="0"/>
      <w:marRight w:val="0"/>
      <w:marTop w:val="0"/>
      <w:marBottom w:val="0"/>
      <w:divBdr>
        <w:top w:val="none" w:sz="0" w:space="0" w:color="auto"/>
        <w:left w:val="none" w:sz="0" w:space="0" w:color="auto"/>
        <w:bottom w:val="none" w:sz="0" w:space="0" w:color="auto"/>
        <w:right w:val="none" w:sz="0" w:space="0" w:color="auto"/>
      </w:divBdr>
    </w:div>
    <w:div w:id="17351548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fontTable" Target="fontTable.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footer" Target="footer7.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customXml" Target="../customXml/item2.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customXml" Target="../customXml/item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theme" Target="theme/theme1.xml"/><Relationship Id="rId30"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www.etuc.org/system/files/document/file2020-06/Final%2022%2006%2020_Agreement%20on%20Digitalisation%202020.pdf" TargetMode="External"/><Relationship Id="rId1" Type="http://schemas.openxmlformats.org/officeDocument/2006/relationships/hyperlink" Target="https://ec.europa.eu/newsroom/dae/document.cfm?doc_id=56341"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DAF84AC25E9A6D478E0CD33E5AE81551" ma:contentTypeVersion="4" ma:contentTypeDescription="Defines the documents for Document Manager V2" ma:contentTypeScope="" ma:versionID="d3aa53337a07c198295b40df7f68b1c8">
  <xsd:schema xmlns:xsd="http://www.w3.org/2001/XMLSchema" xmlns:xs="http://www.w3.org/2001/XMLSchema" xmlns:p="http://schemas.microsoft.com/office/2006/metadata/properties" xmlns:ns2="0b452354-65a4-4dd6-8824-e6b830247e3e" xmlns:ns3="http://schemas.microsoft.com/sharepoint/v3/fields" xmlns:ns4="8122ee8c-75ee-4b28-b96d-e6c0746a2376" targetNamespace="http://schemas.microsoft.com/office/2006/metadata/properties" ma:root="true" ma:fieldsID="248b48f348c4700e81b37ec4c5a49ee6" ns2:_="" ns3:_="" ns4:_="">
    <xsd:import namespace="0b452354-65a4-4dd6-8824-e6b830247e3e"/>
    <xsd:import namespace="http://schemas.microsoft.com/sharepoint/v3/fields"/>
    <xsd:import namespace="8122ee8c-75ee-4b28-b96d-e6c0746a237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122ee8c-75ee-4b28-b96d-e6c0746a237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3T5AXJEHYTWU-1150265745-12655</_dlc_DocId>
    <_dlc_DocIdUrl xmlns="0b452354-65a4-4dd6-8824-e6b830247e3e">
      <Url>http://dm2016/cor/2020/_layouts/15/DocIdRedir.aspx?ID=3T5AXJEHYTWU-1150265745-12655</Url>
      <Description>3T5AXJEHYTWU-1150265745-12655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2020-10-20T12:00:00+00:00</ProductionDate>
    <FicheYear xmlns="0b452354-65a4-4dd6-8824-e6b830247e3e">2020</FicheYear>
    <DocumentNumber xmlns="8122ee8c-75ee-4b28-b96d-e6c0746a2376">2014</DocumentNumber>
    <DocumentVersion xmlns="0b452354-65a4-4dd6-8824-e6b830247e3e">1</DocumentVersion>
    <DossierNumber xmlns="0b452354-65a4-4dd6-8824-e6b830247e3e">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 xsi:nil="true"/>
    <TaxCatchAll xmlns="0b452354-65a4-4dd6-8824-e6b830247e3e">
      <Value>57</Value>
      <Value>38</Value>
      <Value>37</Value>
      <Value>36</Value>
      <Value>35</Value>
      <Value>34</Value>
      <Value>31</Value>
      <Value>30</Value>
      <Value>29</Value>
      <Value>27</Value>
      <Value>26</Value>
      <Value>25</Value>
      <Value>23</Value>
      <Value>19</Value>
      <Value>18</Value>
      <Value>17</Value>
      <Value>16</Value>
      <Value>15</Value>
      <Value>14</Value>
      <Value>13</Value>
      <Value>12</Value>
      <Value>11</Value>
      <Value>99</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Rapporteur xmlns="0b452354-65a4-4dd6-8824-e6b830247e3e">RINK</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b452354-65a4-4dd6-8824-e6b830247e3e">2020</DocumentYear>
    <FicheNumber xmlns="0b452354-65a4-4dd6-8824-e6b830247e3e">11317</FicheNumber>
    <DocumentPart xmlns="0b452354-65a4-4dd6-8824-e6b830247e3e">0</DocumentPart>
    <AdoptionDate xmlns="0b452354-65a4-4dd6-8824-e6b830247e3e">2020-10-14T12:00:00+00:00</AdoptionDate>
    <RequestingService xmlns="0b452354-65a4-4dd6-8824-e6b830247e3e">Commission SEDEC</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122ee8c-75ee-4b28-b96d-e6c0746a2376"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0046969d-369a-440d-a268-b327dcb4242b</TermId>
        </TermInfo>
      </Terms>
    </DossierName_0>
  </documentManagement>
</p:properties>
</file>

<file path=customXml/itemProps1.xml><?xml version="1.0" encoding="utf-8"?>
<ds:datastoreItem xmlns:ds="http://schemas.openxmlformats.org/officeDocument/2006/customXml" ds:itemID="{D4DD3E6B-9D5E-4685-8860-25C22B9B668D}"/>
</file>

<file path=customXml/itemProps2.xml><?xml version="1.0" encoding="utf-8"?>
<ds:datastoreItem xmlns:ds="http://schemas.openxmlformats.org/officeDocument/2006/customXml" ds:itemID="{63DC8891-E1EC-490F-8A17-089619D27240}"/>
</file>

<file path=customXml/itemProps3.xml><?xml version="1.0" encoding="utf-8"?>
<ds:datastoreItem xmlns:ds="http://schemas.openxmlformats.org/officeDocument/2006/customXml" ds:itemID="{B68EC1B3-9018-4019-AF36-341635C2691D}"/>
</file>

<file path=customXml/itemProps4.xml><?xml version="1.0" encoding="utf-8"?>
<ds:datastoreItem xmlns:ds="http://schemas.openxmlformats.org/officeDocument/2006/customXml" ds:itemID="{E9237081-3328-485D-A35B-BECD26950313}"/>
</file>

<file path=docProps/app.xml><?xml version="1.0" encoding="utf-8"?>
<Properties xmlns="http://schemas.openxmlformats.org/officeDocument/2006/extended-properties" xmlns:vt="http://schemas.openxmlformats.org/officeDocument/2006/docPropsVTypes">
  <Template>Styles</Template>
  <TotalTime>2</TotalTime>
  <Pages>14</Pages>
  <Words>4740</Words>
  <Characters>26070</Characters>
  <Application>Microsoft Office Word</Application>
  <DocSecurity>0</DocSecurity>
  <Lines>217</Lines>
  <Paragraphs>61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White Paper on Artificial Intelligence - A European approach to excellence and trust</vt:lpstr>
      <vt:lpstr>Een duurzame bio-economie voor Europa: versterking van de verbinding tussen economie, samenleving en milieu</vt:lpstr>
    </vt:vector>
  </TitlesOfParts>
  <Company>CESE-CdR</Company>
  <LinksUpToDate>false</LinksUpToDate>
  <CharactersWithSpaces>30749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Kunstmatige intelligentie - Een Europese benadering op basis van excellentie en vertrouwen</dc:title>
  <dc:subject>Advies van het Comité</dc:subject>
  <dc:creator>Emma Nieddu</dc:creator>
  <cp:keywords>COR-2020-02014-00-01-AC-TRA-EN</cp:keywords>
  <dc:description>Rapporteur: RINK - Original language: EN - Date of document: 20/10/2020 - Date of meeting:  - External documents: COM(2020)65-final - Administrator: M. ZVIRGZDGRAUDS Jens</dc:description>
  <cp:lastModifiedBy>Sabine De Grave</cp:lastModifiedBy>
  <cp:revision>6</cp:revision>
  <cp:lastPrinted>2019-03-06T09:52:00Z</cp:lastPrinted>
  <dcterms:created xsi:type="dcterms:W3CDTF">2020-10-20T06:25:00Z</dcterms:created>
  <dcterms:modified xsi:type="dcterms:W3CDTF">2020-10-20T10:33:00Z</dcterms:modified>
  <cp:category>SEDEC-VII/3</cp:category>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Date">
    <vt:lpwstr>20/10/2020, 15/10/2020, 22/07/2020, 22/07/2020, 05/06/2020, 07/03/2019, 06/03/2019, 22/02/2019</vt:lpwstr>
  </property>
  <property fmtid="{D5CDD505-2E9C-101B-9397-08002B2CF9AE}" pid="3" name="Pref_FileName">
    <vt:lpwstr>COR-2020-02014-00-01-AC-ORI.docx, COR-2020-02014-00-00-AC-TRA-EN-CRR.docx, COR-2020-02014-00-00-PAC-TRA-EN-CRR.docx, COR-2020-02014-00-00-PAC-CRR-EN.docx, COR-2020-02014-00-00-PA-TRA-NL-CRR.docx, COR-2018-06433-00-01-PA-ORI.docx, COR-2018-06433-00-00-PA-T</vt:lpwstr>
  </property>
  <property fmtid="{D5CDD505-2E9C-101B-9397-08002B2CF9AE}" pid="4" name="Pref_Time">
    <vt:lpwstr>08:24:04, 15:38:19, 11:06:26, 10:30:44, 16:25:29, 12:31:48, 13:45:26, 08:50:49</vt:lpwstr>
  </property>
  <property fmtid="{D5CDD505-2E9C-101B-9397-08002B2CF9AE}" pid="5" name="Pref_User">
    <vt:lpwstr>enied, hnic, hnic, ssex, hnic, mkop, jhvi, hnic</vt:lpwstr>
  </property>
  <property fmtid="{D5CDD505-2E9C-101B-9397-08002B2CF9AE}" pid="6" name="Pref_formatted">
    <vt:bool>true</vt:bool>
  </property>
  <property fmtid="{D5CDD505-2E9C-101B-9397-08002B2CF9AE}" pid="7" name="ContentTypeId">
    <vt:lpwstr>0x010100EA97B91038054C99906057A708A1480A00DAF84AC25E9A6D478E0CD33E5AE81551</vt:lpwstr>
  </property>
  <property fmtid="{D5CDD505-2E9C-101B-9397-08002B2CF9AE}" pid="8" name="_dlc_DocIdItemGuid">
    <vt:lpwstr>8ffe4606-18ad-41f7-be2d-67f9c36883c1</vt:lpwstr>
  </property>
  <property fmtid="{D5CDD505-2E9C-101B-9397-08002B2CF9AE}" pid="9" name="AvailableTranslations">
    <vt:lpwstr>35;#PT|50ccc04a-eadd-42ae-a0cb-acaf45f812ba;#31;#LV|46f7e311-5d9f-4663-b433-18aeccb7ace7;#17;#PL|1e03da61-4678-4e07-b136-b5024ca9197b;#7;#EN|f2175f21-25d7-44a3-96da-d6a61b075e1b;#34;#CS|72f9705b-0217-4fd3-bea2-cbc7ed80e26e;#30;#DA|5d49c027-8956-412b-aa16-e85a0f96ad0e;#16;#ES|e7a6b05b-ae16-40c8-add9-68b64b03aeba;#4;#FR|d2afafd3-4c81-4f60-8f52-ee33f2f54ff3;#13;#HR|2f555653-ed1a-4fe6-8362-9082d95989e5;#19;#LT|a7ff5ce7-6123-4f68-865a-a57c31810414;#18;#NL|55c6556c-b4f4-441d-9acf-c498d4f838bd;#11;#IT|0774613c-01ed-4e5d-a25d-11d2388de825;#26;#SL|98a412ae-eb01-49e9-ae3d-585a81724cfc;#23;#DE|f6b31e5a-26fa-4935-b661-318e46daf27e;#29;#SV|c2ed69e7-a339-43d7-8f22-d93680a92aa0;#36;#FI|87606a43-d45f-42d6-b8c9-e1a3457db5b7;#25;#ET|ff6c3f4c-b02c-4c3c-ab07-2c37995a7a0a;#14;#MT|7df99101-6854-4a26-b53a-b88c0da02c26;#12;#EL|6d4f4d51-af9b-4650-94b4-4276bee85c91;#38;#RO|feb747a2-64cd-4299-af12-4833ddc30497;#15;#SK|46d9fce0-ef79-4f71-b89b-cd6aa82426b8;#37;#BG|1a1b3951-7821-4e6a-85f5-5673fc08bd2c;#27;#HU|6b229040-c589-4408-b4c1-4285663d20a8</vt:lpwstr>
  </property>
  <property fmtid="{D5CDD505-2E9C-101B-9397-08002B2CF9AE}" pid="10" name="DocumentType_0">
    <vt:lpwstr>AC|a4cc1d15-fb08-4679-ad46-e4e0cba5fe92</vt:lpwstr>
  </property>
  <property fmtid="{D5CDD505-2E9C-101B-9397-08002B2CF9AE}" pid="11" name="DossierName_0">
    <vt:lpwstr>SEDEC-VII|0046969d-369a-440d-a268-b327dcb4242b</vt:lpwstr>
  </property>
  <property fmtid="{D5CDD505-2E9C-101B-9397-08002B2CF9AE}" pid="12" name="DocumentSource_0">
    <vt:lpwstr>CoR|cb2d75ef-4a7d-4393-b797-49ed6298a5ea</vt:lpwstr>
  </property>
  <property fmtid="{D5CDD505-2E9C-101B-9397-08002B2CF9AE}" pid="13" name="DocumentNumber">
    <vt:i4>2014</vt:i4>
  </property>
  <property fmtid="{D5CDD505-2E9C-101B-9397-08002B2CF9AE}" pid="14" name="FicheYear">
    <vt:i4>2020</vt:i4>
  </property>
  <property fmtid="{D5CDD505-2E9C-101B-9397-08002B2CF9AE}" pid="15" name="DocumentVersion">
    <vt:i4>1</vt:i4>
  </property>
  <property fmtid="{D5CDD505-2E9C-101B-9397-08002B2CF9AE}" pid="16" name="DossierNumber">
    <vt:i4>3</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57;#SEDEC-VII|0046969d-369a-440d-a268-b327dcb4242b</vt:lpwstr>
  </property>
  <property fmtid="{D5CDD505-2E9C-101B-9397-08002B2CF9AE}" pid="20" name="DocumentSource">
    <vt:lpwstr>1;#CoR|cb2d75ef-4a7d-4393-b797-49ed6298a5ea</vt:lpwstr>
  </property>
  <property fmtid="{D5CDD505-2E9C-101B-9397-08002B2CF9AE}" pid="21" name="AdoptionDate">
    <vt:filetime>2020-10-14T12:00:00Z</vt:filetime>
  </property>
  <property fmtid="{D5CDD505-2E9C-101B-9397-08002B2CF9AE}" pid="22" name="DocumentType">
    <vt:lpwstr>99;#AC|a4cc1d15-fb08-4679-ad46-e4e0cba5fe92</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
  </property>
  <property fmtid="{D5CDD505-2E9C-101B-9397-08002B2CF9AE}" pid="30" name="AvailableTranslations_0">
    <vt:lpwstr>PT|50ccc04a-eadd-42ae-a0cb-acaf45f812ba;EN|f2175f21-25d7-44a3-96da-d6a61b075e1b;ES|e7a6b05b-ae16-40c8-add9-68b64b03aeba;FR|d2afafd3-4c81-4f60-8f52-ee33f2f54ff3;HR|2f555653-ed1a-4fe6-8362-9082d95989e5;IT|0774613c-01ed-4e5d-a25d-11d2388de825;DE|f6b31e5a-26fa-4935-b661-318e46daf27e;ET|ff6c3f4c-b02c-4c3c-ab07-2c37995a7a0a;MT|7df99101-6854-4a26-b53a-b88c0da02c26;EL|6d4f4d51-af9b-4650-94b4-4276bee85c91;BG|1a1b3951-7821-4e6a-85f5-5673fc08bd2c;HU|6b229040-c589-4408-b4c1-4285663d20a8</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35;#PT|50ccc04a-eadd-42ae-a0cb-acaf45f812ba;#25;#ET|ff6c3f4c-b02c-4c3c-ab07-2c37995a7a0a;#27;#HU|6b229040-c589-4408-b4c1-4285663d20a8;#99;#AC|a4cc1d15-fb08-4679-ad46-e4e0cba5fe92;#23;#DE|f6b31e5a-26fa-4935-b661-318e46daf27e;#57;#SEDEC-VII|0046969d-369a-440d-a268-b327dcb4242b;#16;#ES|e7a6b05b-ae16-40c8-add9-68b64b03aeba;#14;#MT|7df99101-6854-4a26-b53a-b88c0da02c26;#13;#HR|2f555653-ed1a-4fe6-8362-9082d95989e5;#12;#EL|6d4f4d51-af9b-4650-94b4-4276bee85c91;#11;#IT|0774613c-01ed-4e5d-a25d-11d2388de825;#8;#TRA|150d2a88-1431-44e6-a8ca-0bb753ab8672;#7;#EN|f2175f21-25d7-44a3-96da-d6a61b075e1b;#6;#Final|ea5e6674-7b27-4bac-b091-73adbb394efe;#5;#Unrestricted|826e22d7-d029-4ec0-a450-0c28ff673572;#4;#FR|d2afafd3-4c81-4f60-8f52-ee33f2f54ff3;#1;#CoR|cb2d75ef-4a7d-4393-b797-49ed6298a5ea;#37;#BG|1a1b3951-7821-4e6a-85f5-5673fc08bd2c</vt:lpwstr>
  </property>
  <property fmtid="{D5CDD505-2E9C-101B-9397-08002B2CF9AE}" pid="34" name="Rapporteur">
    <vt:lpwstr>RINK</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11317</vt:i4>
  </property>
  <property fmtid="{D5CDD505-2E9C-101B-9397-08002B2CF9AE}" pid="39" name="DocumentLanguage">
    <vt:lpwstr>18;#NL|55c6556c-b4f4-441d-9acf-c498d4f838bd</vt:lpwstr>
  </property>
</Properties>
</file>